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780" w:lineRule="exact"/>
        <w:jc w:val="center"/>
        <w:rPr>
          <w:rFonts w:hint="default"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rPr>
        <w:t>榆林市</w:t>
      </w:r>
      <w:r>
        <w:rPr>
          <w:rFonts w:hint="eastAsia" w:ascii="方正小标宋简体" w:hAnsi="方正小标宋简体" w:eastAsia="方正小标宋简体" w:cs="方正小标宋简体"/>
          <w:sz w:val="52"/>
          <w:szCs w:val="52"/>
          <w:lang w:val="en-US" w:eastAsia="zh-CN"/>
        </w:rPr>
        <w:t>城镇生态园林技术服务中心</w:t>
      </w:r>
    </w:p>
    <w:p>
      <w:pPr>
        <w:spacing w:line="78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52"/>
          <w:szCs w:val="52"/>
        </w:rPr>
        <w:t>2021年度</w:t>
      </w:r>
      <w:r>
        <w:rPr>
          <w:rFonts w:hint="eastAsia" w:ascii="方正小标宋简体" w:hAnsi="方正小标宋简体" w:eastAsia="方正小标宋简体" w:cs="方正小标宋简体"/>
          <w:sz w:val="52"/>
          <w:szCs w:val="52"/>
          <w:lang w:eastAsia="zh-CN"/>
        </w:rPr>
        <w:t>单位</w:t>
      </w:r>
      <w:r>
        <w:rPr>
          <w:rFonts w:hint="eastAsia" w:ascii="方正小标宋简体" w:hAnsi="方正小标宋简体" w:eastAsia="方正小标宋简体" w:cs="方正小标宋简体"/>
          <w:sz w:val="52"/>
          <w:szCs w:val="52"/>
        </w:rPr>
        <w:t>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lang w:eastAsia="zh-CN"/>
        </w:rPr>
        <w:t>单位</w:t>
      </w:r>
      <w:r>
        <w:rPr>
          <w:rFonts w:hint="eastAsia" w:ascii="宋体" w:hAnsi="宋体" w:cs="宋体"/>
          <w:b/>
          <w:bCs/>
          <w:sz w:val="32"/>
          <w:szCs w:val="32"/>
        </w:rPr>
        <w:t>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黑体" w:hAnsi="宋体" w:eastAsia="黑体"/>
          <w:bCs/>
          <w:color w:val="000000"/>
          <w:kern w:val="0"/>
          <w:sz w:val="36"/>
          <w:szCs w:val="36"/>
        </w:rPr>
        <w:sectPr>
          <w:footerReference r:id="rId3" w:type="default"/>
          <w:pgSz w:w="11906" w:h="16838"/>
          <w:pgMar w:top="1928" w:right="1644" w:bottom="1474" w:left="1758" w:header="851" w:footer="992" w:gutter="0"/>
          <w:cols w:space="720" w:num="1"/>
          <w:docGrid w:type="lines" w:linePitch="315" w:charSpace="0"/>
        </w:sectPr>
      </w:pPr>
    </w:p>
    <w:p>
      <w:pPr>
        <w:jc w:val="center"/>
        <w:rPr>
          <w:rFonts w:ascii="黑体" w:hAnsi="宋体" w:eastAsia="黑体"/>
          <w:bCs/>
          <w:color w:val="000000"/>
          <w:kern w:val="0"/>
          <w:sz w:val="38"/>
          <w:szCs w:val="36"/>
        </w:rPr>
      </w:pPr>
      <w:r>
        <w:rPr>
          <w:rFonts w:ascii="黑体" w:hAnsi="宋体" w:eastAsia="黑体"/>
          <w:bCs/>
          <w:color w:val="000000"/>
          <w:kern w:val="0"/>
          <w:sz w:val="38"/>
          <w:szCs w:val="36"/>
        </w:rPr>
        <w:t>目</w:t>
      </w:r>
      <w:r>
        <w:rPr>
          <w:rFonts w:hint="eastAsia" w:ascii="黑体" w:hAnsi="宋体" w:eastAsia="黑体"/>
          <w:bCs/>
          <w:color w:val="000000"/>
          <w:kern w:val="0"/>
          <w:sz w:val="38"/>
          <w:szCs w:val="36"/>
        </w:rPr>
        <w:t xml:space="preserve">  </w:t>
      </w:r>
      <w:r>
        <w:rPr>
          <w:rFonts w:ascii="黑体" w:hAnsi="宋体" w:eastAsia="黑体"/>
          <w:bCs/>
          <w:color w:val="000000"/>
          <w:kern w:val="0"/>
          <w:sz w:val="38"/>
          <w:szCs w:val="36"/>
        </w:rPr>
        <w:t>录</w:t>
      </w:r>
    </w:p>
    <w:p>
      <w:pPr>
        <w:widowControl/>
        <w:spacing w:before="157" w:beforeLines="50"/>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 xml:space="preserve">第一部分  </w:t>
      </w:r>
      <w:r>
        <w:rPr>
          <w:rFonts w:hint="eastAsia" w:ascii="方正小标宋简体" w:hAnsi="方正小标宋简体" w:eastAsia="方正小标宋简体" w:cs="方正小标宋简体"/>
          <w:color w:val="000000"/>
          <w:kern w:val="0"/>
          <w:sz w:val="32"/>
          <w:szCs w:val="32"/>
          <w:lang w:eastAsia="zh-CN"/>
        </w:rPr>
        <w:t>单位</w:t>
      </w:r>
      <w:r>
        <w:rPr>
          <w:rFonts w:hint="eastAsia" w:ascii="方正小标宋简体" w:hAnsi="方正小标宋简体" w:eastAsia="方正小标宋简体" w:cs="方正小标宋简体"/>
          <w:color w:val="000000"/>
          <w:kern w:val="0"/>
          <w:sz w:val="32"/>
          <w:szCs w:val="32"/>
        </w:rPr>
        <w:t>概况</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一、</w:t>
      </w:r>
      <w:r>
        <w:rPr>
          <w:rFonts w:hint="eastAsia" w:ascii="仿宋_GB2312" w:hAnsi="仿宋" w:eastAsia="仿宋_GB2312" w:cs="楷体"/>
          <w:color w:val="000000"/>
          <w:kern w:val="0"/>
          <w:sz w:val="32"/>
          <w:szCs w:val="32"/>
          <w:lang w:eastAsia="zh-CN"/>
        </w:rPr>
        <w:t>单位</w:t>
      </w:r>
      <w:r>
        <w:rPr>
          <w:rFonts w:hint="eastAsia" w:ascii="仿宋_GB2312" w:hAnsi="仿宋" w:eastAsia="仿宋_GB2312" w:cs="楷体"/>
          <w:color w:val="000000"/>
          <w:kern w:val="0"/>
          <w:sz w:val="32"/>
          <w:szCs w:val="32"/>
        </w:rPr>
        <w:t>主要职能及内设机构</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二、</w:t>
      </w:r>
      <w:r>
        <w:rPr>
          <w:rFonts w:hint="eastAsia" w:ascii="仿宋_GB2312" w:hAnsi="仿宋" w:eastAsia="仿宋_GB2312" w:cs="楷体"/>
          <w:color w:val="000000"/>
          <w:kern w:val="0"/>
          <w:sz w:val="32"/>
          <w:szCs w:val="32"/>
          <w:lang w:eastAsia="zh-CN"/>
        </w:rPr>
        <w:t>单位</w:t>
      </w:r>
      <w:r>
        <w:rPr>
          <w:rFonts w:hint="eastAsia" w:ascii="仿宋_GB2312" w:hAnsi="仿宋" w:eastAsia="仿宋_GB2312" w:cs="楷体"/>
          <w:color w:val="000000"/>
          <w:kern w:val="0"/>
          <w:sz w:val="32"/>
          <w:szCs w:val="32"/>
        </w:rPr>
        <w:t>决算单位构成</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三、</w:t>
      </w:r>
      <w:r>
        <w:rPr>
          <w:rFonts w:hint="eastAsia" w:ascii="仿宋_GB2312" w:hAnsi="仿宋" w:eastAsia="仿宋_GB2312" w:cs="楷体"/>
          <w:color w:val="000000"/>
          <w:kern w:val="0"/>
          <w:sz w:val="32"/>
          <w:szCs w:val="32"/>
          <w:lang w:eastAsia="zh-CN"/>
        </w:rPr>
        <w:t>单位</w:t>
      </w:r>
      <w:r>
        <w:rPr>
          <w:rFonts w:hint="eastAsia" w:ascii="仿宋_GB2312" w:hAnsi="仿宋" w:eastAsia="仿宋_GB2312" w:cs="楷体"/>
          <w:color w:val="000000"/>
          <w:kern w:val="0"/>
          <w:sz w:val="32"/>
          <w:szCs w:val="32"/>
        </w:rPr>
        <w:t>人员情况</w:t>
      </w:r>
    </w:p>
    <w:p>
      <w:pPr>
        <w:widowControl/>
        <w:spacing w:before="157" w:beforeLines="50" w:after="157" w:afterLines="50" w:line="64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2021年度</w:t>
      </w:r>
      <w:r>
        <w:rPr>
          <w:rFonts w:hint="eastAsia" w:ascii="方正小标宋简体" w:hAnsi="方正小标宋简体" w:eastAsia="方正小标宋简体" w:cs="方正小标宋简体"/>
          <w:color w:val="000000"/>
          <w:kern w:val="0"/>
          <w:sz w:val="32"/>
          <w:szCs w:val="32"/>
          <w:lang w:eastAsia="zh-CN"/>
        </w:rPr>
        <w:t>单位</w:t>
      </w:r>
      <w:r>
        <w:rPr>
          <w:rFonts w:hint="eastAsia" w:ascii="方正小标宋简体" w:hAnsi="方正小标宋简体" w:eastAsia="方正小标宋简体" w:cs="方正小标宋简体"/>
          <w:color w:val="000000"/>
          <w:kern w:val="0"/>
          <w:sz w:val="32"/>
          <w:szCs w:val="32"/>
        </w:rPr>
        <w:t>决算表</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一、收入支出决算总表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二、收入决算表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三、支出决算表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四、财政拨款收入支出决算总表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五、一般公共预算财政拨款支出决算表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六、一般公共预算财政拨款基本支出决算表    </w:t>
      </w:r>
    </w:p>
    <w:p>
      <w:pPr>
        <w:widowControl/>
        <w:spacing w:line="640" w:lineRule="exact"/>
        <w:ind w:left="640" w:hanging="640" w:hangingChars="200"/>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七、一般公共预算财政拨款“三公”经费及会议费、培训费支出决算表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八、政府性基金预算财政拨款收入支出决算表</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九、国有资本经营预算财政拨款支出决算表</w:t>
      </w:r>
    </w:p>
    <w:p>
      <w:pPr>
        <w:widowControl/>
        <w:spacing w:before="157" w:beforeLines="50" w:after="157" w:afterLines="50" w:line="64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2021年度</w:t>
      </w:r>
      <w:r>
        <w:rPr>
          <w:rFonts w:hint="eastAsia" w:ascii="方正小标宋简体" w:hAnsi="方正小标宋简体" w:eastAsia="方正小标宋简体" w:cs="方正小标宋简体"/>
          <w:color w:val="000000"/>
          <w:kern w:val="0"/>
          <w:sz w:val="32"/>
          <w:szCs w:val="32"/>
          <w:lang w:eastAsia="zh-CN"/>
        </w:rPr>
        <w:t>单位</w:t>
      </w:r>
      <w:r>
        <w:rPr>
          <w:rFonts w:hint="eastAsia" w:ascii="方正小标宋简体" w:hAnsi="方正小标宋简体" w:eastAsia="方正小标宋简体" w:cs="方正小标宋简体"/>
          <w:color w:val="000000"/>
          <w:kern w:val="0"/>
          <w:sz w:val="32"/>
          <w:szCs w:val="32"/>
        </w:rPr>
        <w:t>决算情况说明</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一、收入支出决算总体情况说明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二、收入决算情况说明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三、支出决算情况说明    </w:t>
      </w:r>
    </w:p>
    <w:p>
      <w:pPr>
        <w:widowControl/>
        <w:spacing w:line="640" w:lineRule="exact"/>
        <w:jc w:val="left"/>
        <w:rPr>
          <w:rFonts w:ascii="仿宋_GB2312" w:hAnsi="楷体" w:eastAsia="仿宋_GB2312" w:cs="楷体"/>
        </w:rPr>
      </w:pPr>
      <w:r>
        <w:rPr>
          <w:rFonts w:hint="eastAsia" w:ascii="仿宋_GB2312" w:hAnsi="仿宋" w:eastAsia="仿宋_GB2312" w:cs="楷体"/>
          <w:color w:val="000000"/>
          <w:kern w:val="0"/>
          <w:sz w:val="32"/>
          <w:szCs w:val="32"/>
        </w:rPr>
        <w:t xml:space="preserve">四、财政拨款收入支出决算总体情况说明   </w:t>
      </w:r>
      <w:r>
        <w:rPr>
          <w:rFonts w:hint="eastAsia" w:ascii="仿宋_GB2312" w:hAnsi="楷体" w:eastAsia="仿宋_GB2312" w:cs="楷体"/>
          <w:color w:val="000000"/>
          <w:kern w:val="0"/>
          <w:sz w:val="32"/>
          <w:szCs w:val="32"/>
        </w:rPr>
        <w:t xml:space="preserve">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五、一般公共预算财政拨款支出决算情况说明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六、一般公共预算财政拨款基本支出决算情况说明   </w:t>
      </w:r>
    </w:p>
    <w:p>
      <w:pPr>
        <w:widowControl/>
        <w:spacing w:line="640" w:lineRule="exact"/>
        <w:ind w:left="640" w:hanging="640" w:hangingChars="200"/>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七、一般公共预算财政拨款“三公”经费及会议费、培训费支出决算情况说明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八、政府性基金预算财政拨款收入支出情况说明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九、国有资本经营预算财政拨款支出决算情况说明</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十、机关运行经费支出情况说明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十一、政府采购支出情况说明 </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十二、国有资产占用及购置情况说明</w:t>
      </w:r>
    </w:p>
    <w:p>
      <w:pPr>
        <w:widowControl/>
        <w:spacing w:line="640" w:lineRule="exact"/>
        <w:jc w:val="left"/>
        <w:rPr>
          <w:rFonts w:ascii="仿宋_GB2312" w:hAnsi="仿宋" w:eastAsia="仿宋_GB2312" w:cs="楷体"/>
          <w:color w:val="000000"/>
          <w:kern w:val="0"/>
          <w:sz w:val="32"/>
          <w:szCs w:val="32"/>
        </w:rPr>
      </w:pPr>
      <w:r>
        <w:rPr>
          <w:rFonts w:hint="eastAsia" w:ascii="仿宋_GB2312" w:hAnsi="仿宋" w:eastAsia="仿宋_GB2312" w:cs="楷体"/>
          <w:color w:val="000000"/>
          <w:kern w:val="0"/>
          <w:sz w:val="32"/>
          <w:szCs w:val="32"/>
        </w:rPr>
        <w:t xml:space="preserve">十三、预算绩效情况说明 </w:t>
      </w:r>
    </w:p>
    <w:p>
      <w:pPr>
        <w:widowControl/>
        <w:spacing w:before="315" w:beforeLines="100"/>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rPr>
        <w:t xml:space="preserve">第一部分 </w:t>
      </w:r>
      <w:r>
        <w:rPr>
          <w:rFonts w:hint="eastAsia" w:ascii="方正小标宋简体" w:hAnsi="方正小标宋简体" w:eastAsia="方正小标宋简体" w:cs="方正小标宋简体"/>
          <w:color w:val="000000"/>
          <w:kern w:val="0"/>
          <w:sz w:val="44"/>
          <w:szCs w:val="44"/>
          <w:lang w:eastAsia="zh-CN"/>
        </w:rPr>
        <w:t>单位</w:t>
      </w:r>
      <w:r>
        <w:rPr>
          <w:rFonts w:hint="eastAsia" w:ascii="方正小标宋简体" w:hAnsi="方正小标宋简体" w:eastAsia="方正小标宋简体" w:cs="方正小标宋简体"/>
          <w:color w:val="000000"/>
          <w:kern w:val="0"/>
          <w:sz w:val="44"/>
          <w:szCs w:val="44"/>
        </w:rPr>
        <w:t>概况</w:t>
      </w:r>
    </w:p>
    <w:p>
      <w:pPr>
        <w:spacing w:before="157" w:beforeLines="50" w:line="660" w:lineRule="exact"/>
        <w:rPr>
          <w:rFonts w:ascii="黑体" w:hAnsi="宋体" w:eastAsia="黑体"/>
          <w:color w:val="000000"/>
          <w:kern w:val="0"/>
          <w:sz w:val="32"/>
          <w:szCs w:val="32"/>
        </w:rPr>
      </w:pPr>
      <w:r>
        <w:rPr>
          <w:rFonts w:hint="eastAsia" w:ascii="黑体" w:hAnsi="宋体" w:eastAsia="黑体"/>
          <w:color w:val="000000"/>
          <w:kern w:val="0"/>
          <w:sz w:val="32"/>
          <w:szCs w:val="32"/>
        </w:rPr>
        <w:t xml:space="preserve">    一、</w:t>
      </w:r>
      <w:r>
        <w:rPr>
          <w:rFonts w:hint="eastAsia" w:ascii="黑体" w:hAnsi="宋体" w:eastAsia="黑体"/>
          <w:color w:val="000000"/>
          <w:kern w:val="0"/>
          <w:sz w:val="32"/>
          <w:szCs w:val="32"/>
          <w:lang w:eastAsia="zh-CN"/>
        </w:rPr>
        <w:t>单位</w:t>
      </w:r>
      <w:r>
        <w:rPr>
          <w:rFonts w:hint="eastAsia" w:ascii="黑体" w:hAnsi="宋体" w:eastAsia="黑体"/>
          <w:color w:val="000000"/>
          <w:kern w:val="0"/>
          <w:sz w:val="32"/>
          <w:szCs w:val="32"/>
        </w:rPr>
        <w:t>主要职能及内设机构</w:t>
      </w:r>
    </w:p>
    <w:p>
      <w:pPr>
        <w:widowControl/>
        <w:spacing w:line="660" w:lineRule="exact"/>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（一）主要职能。</w:t>
      </w:r>
    </w:p>
    <w:p>
      <w:pPr>
        <w:widowControl/>
        <w:spacing w:line="6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榆林市城镇生态园林技术服务中心参与拟订全市城镇、生态园林建设计划和规划编制、中心城区园林绿化、河道开发建设中长期规划和年度计划并组织实施;提出全市城镇生态园林工作计划的意见建议，并提供服务保障。</w:t>
      </w:r>
    </w:p>
    <w:p>
      <w:pPr>
        <w:widowControl/>
        <w:numPr>
          <w:ilvl w:val="0"/>
          <w:numId w:val="1"/>
        </w:numPr>
        <w:spacing w:line="660" w:lineRule="exact"/>
        <w:ind w:firstLine="640" w:firstLineChars="20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内设机构。</w:t>
      </w:r>
    </w:p>
    <w:p>
      <w:pPr>
        <w:widowControl/>
        <w:numPr>
          <w:ilvl w:val="0"/>
          <w:numId w:val="0"/>
        </w:numPr>
        <w:spacing w:line="660" w:lineRule="exact"/>
        <w:jc w:val="left"/>
        <w:rPr>
          <w:rFonts w:hint="default"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 xml:space="preserve">    </w:t>
      </w:r>
      <w:r>
        <w:rPr>
          <w:rFonts w:hint="eastAsia" w:ascii="仿宋_GB2312" w:hAnsi="仿宋_GB2312" w:eastAsia="仿宋_GB2312" w:cs="仿宋_GB2312"/>
          <w:sz w:val="32"/>
          <w:szCs w:val="32"/>
        </w:rPr>
        <w:t>榆林市城镇生态园林技术服务中心设置正科级内设机构5个，分别是:办公室、规划科、建设科、项目服务科、灾害防御科;设正科级领导职数5名，副科级领导职数3名。</w:t>
      </w:r>
    </w:p>
    <w:p>
      <w:pPr>
        <w:widowControl/>
        <w:spacing w:line="660" w:lineRule="exact"/>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lang w:eastAsia="zh-CN"/>
        </w:rPr>
        <w:t>单位</w:t>
      </w:r>
      <w:r>
        <w:rPr>
          <w:rFonts w:hint="eastAsia" w:ascii="黑体" w:hAnsi="宋体" w:eastAsia="黑体"/>
          <w:color w:val="000000"/>
          <w:kern w:val="0"/>
          <w:sz w:val="32"/>
          <w:szCs w:val="32"/>
        </w:rPr>
        <w:t>决算单位构成</w:t>
      </w:r>
    </w:p>
    <w:p>
      <w:pPr>
        <w:spacing w:after="157" w:afterLines="50" w:line="6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纳入本年度本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2"/>
          <w:szCs w:val="32"/>
        </w:rPr>
        <w:t>二级预算</w:t>
      </w:r>
      <w:r>
        <w:rPr>
          <w:rFonts w:hint="eastAsia" w:ascii="仿宋_GB2312" w:hAnsi="仿宋_GB2312" w:eastAsia="仿宋_GB2312" w:cs="仿宋_GB2312"/>
          <w:sz w:val="32"/>
          <w:szCs w:val="32"/>
        </w:rPr>
        <w:t>单位：</w:t>
      </w:r>
    </w:p>
    <w:p>
      <w:pPr>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25" o:spt="75" type="#_x0000_t75" style="height:91.6pt;width:441.6pt;" o:ole="t" filled="f" o:preferrelative="t" stroked="f" coordsize="21600,21600">
            <v:path/>
            <v:fill on="f" focussize="0,0"/>
            <v:stroke on="f"/>
            <v:imagedata r:id="rId7" o:title=""/>
            <o:lock v:ext="edit" aspectratio="t"/>
            <w10:wrap type="none"/>
            <w10:anchorlock/>
          </v:shape>
          <o:OLEObject Type="Embed" ProgID="Excel.Sheet.12" ShapeID="_x0000_i1025" DrawAspect="Content" ObjectID="_1468075725" r:id="rId6">
            <o:LockedField>false</o:LockedField>
          </o:OLEObject>
        </w:object>
      </w:r>
    </w:p>
    <w:p>
      <w:pPr>
        <w:rPr>
          <w:rFonts w:ascii="仿宋_GB2312" w:hAnsi="仿宋_GB2312"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人员情况</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截至2021年底，本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jc w:val="center"/>
        <w:rPr>
          <w:rFonts w:ascii="方正小标宋简体" w:hAnsi="方正小标宋简体" w:eastAsia="方正小标宋简体" w:cs="方正小标宋简体"/>
          <w:color w:val="000000"/>
          <w:kern w:val="0"/>
          <w:sz w:val="44"/>
          <w:szCs w:val="44"/>
        </w:rPr>
      </w:pPr>
      <w:r>
        <w:rPr>
          <w:rFonts w:hint="eastAsia" w:ascii="仿宋_GB2312" w:hAnsi="仿宋_GB2312" w:eastAsia="仿宋_GB2312" w:cs="仿宋_GB2312"/>
          <w:sz w:val="32"/>
          <w:szCs w:val="32"/>
        </w:rPr>
        <w:drawing>
          <wp:inline distT="0" distB="0" distL="0" distR="0">
            <wp:extent cx="5638800" cy="3192145"/>
            <wp:effectExtent l="4445" t="4445" r="14605" b="2286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方正小标宋简体" w:hAnsi="方正小标宋简体" w:eastAsia="方正小标宋简体" w:cs="方正小标宋简体"/>
          <w:color w:val="000000"/>
          <w:kern w:val="0"/>
          <w:sz w:val="44"/>
          <w:szCs w:val="44"/>
        </w:rPr>
        <w:br w:type="page"/>
      </w:r>
    </w:p>
    <w:p>
      <w:pPr>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第二部分 2021年度</w:t>
      </w:r>
      <w:r>
        <w:rPr>
          <w:rFonts w:hint="eastAsia" w:ascii="方正小标宋简体" w:hAnsi="方正小标宋简体" w:eastAsia="方正小标宋简体" w:cs="方正小标宋简体"/>
          <w:color w:val="000000"/>
          <w:kern w:val="0"/>
          <w:sz w:val="44"/>
          <w:szCs w:val="44"/>
          <w:lang w:eastAsia="zh-CN" w:bidi="ar"/>
        </w:rPr>
        <w:t>单位</w:t>
      </w:r>
      <w:r>
        <w:rPr>
          <w:rFonts w:hint="eastAsia" w:ascii="方正小标宋简体" w:hAnsi="方正小标宋简体" w:eastAsia="方正小标宋简体" w:cs="方正小标宋简体"/>
          <w:color w:val="000000"/>
          <w:kern w:val="0"/>
          <w:sz w:val="44"/>
          <w:szCs w:val="44"/>
          <w:lang w:bidi="ar"/>
        </w:rPr>
        <w:t>决算表</w:t>
      </w:r>
    </w:p>
    <w:tbl>
      <w:tblPr>
        <w:tblStyle w:val="8"/>
        <w:tblpPr w:leftFromText="180" w:rightFromText="180" w:vertAnchor="text" w:horzAnchor="margin" w:tblpXSpec="center" w:tblpY="349"/>
        <w:tblOverlap w:val="never"/>
        <w:tblW w:w="8588" w:type="dxa"/>
        <w:tblInd w:w="0" w:type="dxa"/>
        <w:tblLayout w:type="fixed"/>
        <w:tblCellMar>
          <w:top w:w="0" w:type="dxa"/>
          <w:left w:w="0" w:type="dxa"/>
          <w:bottom w:w="0" w:type="dxa"/>
          <w:right w:w="0" w:type="dxa"/>
        </w:tblCellMar>
      </w:tblPr>
      <w:tblGrid>
        <w:gridCol w:w="735"/>
        <w:gridCol w:w="4838"/>
        <w:gridCol w:w="1005"/>
        <w:gridCol w:w="2010"/>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否</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否</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否</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否</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否</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否</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83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否</w:t>
            </w:r>
          </w:p>
        </w:tc>
        <w:tc>
          <w:tcPr>
            <w:tcW w:w="20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政府性基金预算财政拨款收入支出决算表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是</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lang w:val="en-US" w:eastAsia="zh-CN" w:bidi="ar"/>
              </w:rPr>
              <w:t>没有</w:t>
            </w:r>
            <w:r>
              <w:rPr>
                <w:rFonts w:hint="eastAsia" w:ascii="宋体" w:hAnsi="宋体" w:cs="宋体"/>
                <w:color w:val="000000"/>
                <w:kern w:val="0"/>
                <w:sz w:val="24"/>
                <w:lang w:bidi="ar"/>
              </w:rPr>
              <w:t>政府性基金预算财政拨款收入支出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表9</w:t>
            </w:r>
          </w:p>
        </w:tc>
        <w:tc>
          <w:tcPr>
            <w:tcW w:w="48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国有资本经营预算财政拨款支出决算表</w:t>
            </w:r>
          </w:p>
        </w:tc>
        <w:tc>
          <w:tcPr>
            <w:tcW w:w="1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是</w:t>
            </w:r>
          </w:p>
        </w:tc>
        <w:tc>
          <w:tcPr>
            <w:tcW w:w="20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lang w:val="en-US" w:eastAsia="zh-CN" w:bidi="ar"/>
              </w:rPr>
              <w:t>没有</w:t>
            </w:r>
            <w:r>
              <w:rPr>
                <w:rFonts w:hint="eastAsia" w:ascii="宋体" w:hAnsi="宋体" w:cs="宋体"/>
                <w:color w:val="000000"/>
                <w:kern w:val="0"/>
                <w:sz w:val="24"/>
                <w:lang w:bidi="ar"/>
              </w:rPr>
              <w:t>国有资本经营预算财政拨款支出</w:t>
            </w:r>
          </w:p>
        </w:tc>
      </w:tr>
    </w:tbl>
    <w:p>
      <w:pPr>
        <w:jc w:val="center"/>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sectPr>
          <w:footerReference r:id="rId4" w:type="default"/>
          <w:pgSz w:w="11906" w:h="16838"/>
          <w:pgMar w:top="1928" w:right="1588" w:bottom="1474" w:left="1701" w:header="851" w:footer="1191" w:gutter="0"/>
          <w:pgNumType w:fmt="numberInDash" w:start="1"/>
          <w:cols w:space="720" w:num="1"/>
          <w:docGrid w:type="lines" w:linePitch="315" w:charSpace="0"/>
        </w:sectPr>
      </w:pPr>
    </w:p>
    <w:p>
      <w:pPr>
        <w:widowControl/>
        <w:jc w:val="center"/>
        <w:textAlignment w:val="center"/>
        <w:rPr>
          <w:rFonts w:ascii="黑体" w:hAnsi="黑体" w:eastAsia="黑体" w:cs="宋体"/>
          <w:bCs/>
          <w:color w:val="000000"/>
          <w:sz w:val="32"/>
          <w:szCs w:val="32"/>
        </w:rPr>
      </w:pPr>
      <w:r>
        <w:rPr>
          <w:rFonts w:hint="eastAsia" w:ascii="黑体" w:hAnsi="黑体" w:eastAsia="黑体" w:cs="宋体"/>
          <w:bCs/>
          <w:color w:val="000000"/>
          <w:sz w:val="32"/>
          <w:szCs w:val="32"/>
        </w:rPr>
        <w:t>收入支出决算总表</w:t>
      </w:r>
    </w:p>
    <w:p>
      <w:pPr>
        <w:rPr>
          <w:rFonts w:ascii="宋体" w:hAnsi="宋体" w:cs="宋体"/>
          <w:b/>
          <w:bCs/>
          <w:color w:val="000000"/>
          <w:szCs w:val="21"/>
        </w:rPr>
      </w:pP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宋体" w:hAnsi="宋体" w:cs="宋体"/>
          <w:b/>
          <w:bCs/>
          <w:color w:val="000000"/>
          <w:szCs w:val="21"/>
        </w:rPr>
        <w:t xml:space="preserve">      公开01表</w:t>
      </w:r>
    </w:p>
    <w:p>
      <w:pPr>
        <w:ind w:leftChars="-26" w:hanging="55" w:hangingChars="26"/>
        <w:jc w:val="left"/>
        <w:rPr>
          <w:rFonts w:ascii="宋体" w:hAnsi="宋体" w:cs="宋体"/>
          <w:b/>
          <w:bCs/>
          <w:color w:val="000000"/>
          <w:szCs w:val="21"/>
        </w:rPr>
      </w:pPr>
      <w:r>
        <w:rPr>
          <w:rFonts w:hint="eastAsia" w:ascii="宋体" w:hAnsi="宋体" w:cs="宋体"/>
          <w:b/>
          <w:bCs/>
          <w:color w:val="000000"/>
          <w:szCs w:val="21"/>
        </w:rPr>
        <w:t>编制</w:t>
      </w:r>
      <w:r>
        <w:rPr>
          <w:rFonts w:hint="eastAsia" w:ascii="宋体" w:hAnsi="宋体" w:cs="宋体"/>
          <w:b/>
          <w:bCs/>
          <w:color w:val="000000"/>
          <w:szCs w:val="21"/>
          <w:lang w:eastAsia="zh-CN"/>
        </w:rPr>
        <w:t>单位</w:t>
      </w:r>
      <w:r>
        <w:rPr>
          <w:rFonts w:hint="eastAsia" w:ascii="宋体" w:hAnsi="宋体" w:cs="宋体"/>
          <w:b/>
          <w:bCs/>
          <w:color w:val="000000"/>
          <w:szCs w:val="21"/>
        </w:rPr>
        <w:t>：</w:t>
      </w:r>
      <w:r>
        <w:rPr>
          <w:rFonts w:hint="eastAsia" w:ascii="宋体" w:hAnsi="宋体" w:cs="宋体"/>
          <w:b/>
          <w:bCs/>
          <w:color w:val="000000"/>
          <w:szCs w:val="21"/>
          <w:lang w:val="en-US" w:eastAsia="zh-CN"/>
        </w:rPr>
        <w:t>榆林市城镇生态园林技术服务中心</w:t>
      </w:r>
      <w:r>
        <w:rPr>
          <w:rFonts w:hint="eastAsia" w:ascii="宋体" w:hAnsi="宋体" w:cs="宋体"/>
          <w:b/>
          <w:bCs/>
          <w:color w:val="000000"/>
          <w:szCs w:val="21"/>
        </w:rPr>
        <w:t xml:space="preserve">   </w:t>
      </w:r>
      <w:r>
        <w:rPr>
          <w:rFonts w:hint="eastAsia" w:ascii="宋体" w:hAnsi="宋体" w:cs="宋体"/>
          <w:b/>
          <w:bCs/>
          <w:color w:val="000000"/>
          <w:szCs w:val="21"/>
          <w:lang w:val="en-US" w:eastAsia="zh-CN"/>
        </w:rPr>
        <w:t xml:space="preserve"> </w:t>
      </w:r>
      <w:r>
        <w:rPr>
          <w:rFonts w:hint="eastAsia" w:ascii="宋体" w:hAnsi="宋体" w:cs="宋体"/>
          <w:b/>
          <w:bCs/>
          <w:color w:val="000000"/>
          <w:szCs w:val="21"/>
        </w:rPr>
        <w:t xml:space="preserve">                          金额单位：万元</w:t>
      </w:r>
    </w:p>
    <w:tbl>
      <w:tblPr>
        <w:tblStyle w:val="8"/>
        <w:tblW w:w="8901" w:type="dxa"/>
        <w:jc w:val="center"/>
        <w:tblLayout w:type="fixed"/>
        <w:tblCellMar>
          <w:top w:w="15" w:type="dxa"/>
          <w:left w:w="15" w:type="dxa"/>
          <w:bottom w:w="15" w:type="dxa"/>
          <w:right w:w="15" w:type="dxa"/>
        </w:tblCellMar>
      </w:tblPr>
      <w:tblGrid>
        <w:gridCol w:w="3393"/>
        <w:gridCol w:w="1083"/>
        <w:gridCol w:w="3096"/>
        <w:gridCol w:w="1329"/>
      </w:tblGrid>
      <w:tr>
        <w:tblPrEx>
          <w:tblCellMar>
            <w:top w:w="15" w:type="dxa"/>
            <w:left w:w="15" w:type="dxa"/>
            <w:bottom w:w="15" w:type="dxa"/>
            <w:right w:w="15" w:type="dxa"/>
          </w:tblCellMar>
        </w:tblPrEx>
        <w:trPr>
          <w:trHeight w:val="328" w:hRule="exact"/>
          <w:jc w:val="center"/>
        </w:trPr>
        <w:tc>
          <w:tcPr>
            <w:tcW w:w="4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413.63</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2.政府性基金预算财政拨款</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 xml:space="preserve">3.国有资本经营预算财政拨款 </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4.上级补助收入</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right"/>
              <w:textAlignment w:val="center"/>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5.事业收入</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right"/>
              <w:textAlignment w:val="center"/>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6.经营收入</w:t>
            </w:r>
          </w:p>
        </w:tc>
        <w:tc>
          <w:tcPr>
            <w:tcW w:w="1083" w:type="dxa"/>
            <w:tcBorders>
              <w:top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7.附属单位上缴收入</w:t>
            </w:r>
          </w:p>
        </w:tc>
        <w:tc>
          <w:tcPr>
            <w:tcW w:w="1083" w:type="dxa"/>
            <w:tcBorders>
              <w:top w:val="single" w:color="000000" w:sz="4" w:space="0"/>
              <w:bottom w:val="single" w:color="000000" w:sz="4" w:space="0"/>
              <w:right w:val="single" w:color="000000" w:sz="4" w:space="0"/>
            </w:tcBorders>
            <w:vAlign w:val="center"/>
          </w:tcPr>
          <w:p>
            <w:pPr>
              <w:widowControl/>
              <w:spacing w:line="260" w:lineRule="exact"/>
              <w:jc w:val="right"/>
              <w:textAlignment w:val="center"/>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8 .其他收入</w:t>
            </w:r>
          </w:p>
        </w:tc>
        <w:tc>
          <w:tcPr>
            <w:tcW w:w="1083" w:type="dxa"/>
            <w:tcBorders>
              <w:top w:val="single" w:color="000000" w:sz="4" w:space="0"/>
              <w:bottom w:val="single" w:color="000000" w:sz="4" w:space="0"/>
              <w:right w:val="single" w:color="000000" w:sz="4" w:space="0"/>
            </w:tcBorders>
            <w:vAlign w:val="center"/>
          </w:tcPr>
          <w:p>
            <w:pPr>
              <w:widowControl/>
              <w:spacing w:line="260" w:lineRule="exact"/>
              <w:jc w:val="right"/>
              <w:textAlignment w:val="center"/>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32.29</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p>
        </w:tc>
        <w:tc>
          <w:tcPr>
            <w:tcW w:w="1083" w:type="dxa"/>
            <w:tcBorders>
              <w:top w:val="single" w:color="000000" w:sz="4" w:space="0"/>
              <w:bottom w:val="single" w:color="000000" w:sz="4" w:space="0"/>
              <w:right w:val="single" w:color="000000" w:sz="4" w:space="0"/>
            </w:tcBorders>
            <w:vAlign w:val="center"/>
          </w:tcPr>
          <w:p>
            <w:pPr>
              <w:widowControl/>
              <w:spacing w:line="260" w:lineRule="exact"/>
              <w:jc w:val="right"/>
              <w:textAlignment w:val="center"/>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p>
        </w:tc>
        <w:tc>
          <w:tcPr>
            <w:tcW w:w="1083" w:type="dxa"/>
            <w:tcBorders>
              <w:top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3" w:type="dxa"/>
            <w:tcBorders>
              <w:top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14.资源勘探工业信息等支出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21.国有资本经营预算支出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22.灾害防治及应急管理支出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23.其他支出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cs="宋体"/>
                <w:color w:val="00000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26.抗疫特别国债安排的支出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3" w:type="dxa"/>
            <w:tcBorders>
              <w:top w:val="single" w:color="000000" w:sz="4" w:space="0"/>
              <w:left w:val="single" w:color="000000" w:sz="4" w:space="0"/>
              <w:right w:val="single" w:color="000000" w:sz="4" w:space="0"/>
            </w:tcBorders>
            <w:vAlign w:val="center"/>
          </w:tcPr>
          <w:p>
            <w:pPr>
              <w:widowControl/>
              <w:spacing w:line="260" w:lineRule="exact"/>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413.63</w:t>
            </w:r>
            <w:r>
              <w:rPr>
                <w:rFonts w:hint="eastAsia" w:ascii="宋体" w:hAnsi="宋体" w:cs="宋体"/>
                <w:color w:val="000000"/>
                <w:kern w:val="0"/>
                <w:szCs w:val="21"/>
              </w:rPr>
              <w:t xml:space="preserve"> </w:t>
            </w:r>
          </w:p>
        </w:tc>
        <w:tc>
          <w:tcPr>
            <w:tcW w:w="3096" w:type="dxa"/>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9" w:type="dxa"/>
            <w:tcBorders>
              <w:top w:val="single" w:color="000000" w:sz="4" w:space="0"/>
              <w:left w:val="single" w:color="000000" w:sz="4" w:space="0"/>
              <w:right w:val="single" w:color="000000" w:sz="4" w:space="0"/>
            </w:tcBorders>
            <w:vAlign w:val="center"/>
          </w:tcPr>
          <w:p>
            <w:pPr>
              <w:spacing w:line="260" w:lineRule="exact"/>
              <w:rPr>
                <w:rFonts w:ascii="宋体" w:hAnsi="宋体" w:eastAsia="宋体" w:cs="宋体"/>
                <w:b/>
                <w:color w:val="000000"/>
                <w:kern w:val="2"/>
                <w:sz w:val="21"/>
                <w:szCs w:val="21"/>
                <w:lang w:val="en-US" w:eastAsia="zh-CN" w:bidi="ar-SA"/>
              </w:rPr>
            </w:pPr>
            <w:r>
              <w:rPr>
                <w:rFonts w:hint="eastAsia" w:ascii="宋体" w:hAnsi="宋体" w:cs="宋体"/>
                <w:color w:val="000000"/>
                <w:szCs w:val="21"/>
                <w:lang w:val="en-US" w:eastAsia="zh-CN"/>
              </w:rPr>
              <w:t>413.63</w:t>
            </w: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bCs/>
                <w:color w:val="000000"/>
                <w:szCs w:val="21"/>
              </w:rPr>
            </w:pPr>
            <w:r>
              <w:rPr>
                <w:rFonts w:hint="eastAsia" w:ascii="宋体" w:hAnsi="宋体" w:cs="宋体"/>
                <w:bCs/>
                <w:color w:val="000000"/>
                <w:kern w:val="0"/>
                <w:szCs w:val="21"/>
              </w:rPr>
              <w:t>使用非财政拨款结余</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bCs/>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9" w:type="dxa"/>
            <w:tcBorders>
              <w:top w:val="single" w:color="000000" w:sz="4" w:space="0"/>
              <w:left w:val="single" w:color="000000" w:sz="4" w:space="0"/>
              <w:bottom w:val="single" w:color="000000" w:sz="4" w:space="0"/>
              <w:right w:val="single" w:color="000000" w:sz="4" w:space="0"/>
            </w:tcBorders>
            <w:vAlign w:val="bottom"/>
          </w:tcPr>
          <w:p>
            <w:pPr>
              <w:spacing w:line="260" w:lineRule="exact"/>
              <w:rPr>
                <w:rFonts w:ascii="宋体" w:hAnsi="宋体" w:eastAsia="宋体" w:cs="宋体"/>
                <w:b/>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bCs/>
                <w:color w:val="000000"/>
                <w:kern w:val="2"/>
                <w:sz w:val="21"/>
                <w:szCs w:val="21"/>
                <w:lang w:val="en-US" w:eastAsia="zh-CN" w:bidi="ar-SA"/>
              </w:rPr>
            </w:pP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eastAsia="宋体" w:cs="宋体"/>
                <w:b/>
                <w:color w:val="000000"/>
                <w:kern w:val="2"/>
                <w:sz w:val="21"/>
                <w:szCs w:val="21"/>
                <w:lang w:val="en-US" w:eastAsia="zh-CN" w:bidi="ar-SA"/>
              </w:rPr>
            </w:pPr>
          </w:p>
        </w:tc>
      </w:tr>
      <w:tr>
        <w:tblPrEx>
          <w:tblCellMar>
            <w:top w:w="15" w:type="dxa"/>
            <w:left w:w="15" w:type="dxa"/>
            <w:bottom w:w="15" w:type="dxa"/>
            <w:right w:w="15" w:type="dxa"/>
          </w:tblCellMar>
        </w:tblPrEx>
        <w:trPr>
          <w:trHeight w:val="328" w:hRule="exact"/>
          <w:jc w:val="center"/>
        </w:trPr>
        <w:tc>
          <w:tcPr>
            <w:tcW w:w="339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413.63</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eastAsia="宋体" w:cs="宋体"/>
                <w:b/>
                <w:color w:val="000000"/>
                <w:kern w:val="2"/>
                <w:sz w:val="21"/>
                <w:szCs w:val="21"/>
                <w:lang w:val="en-US" w:eastAsia="zh-CN" w:bidi="ar-SA"/>
              </w:rPr>
            </w:pPr>
            <w:r>
              <w:rPr>
                <w:rFonts w:hint="eastAsia" w:ascii="宋体" w:hAnsi="宋体" w:cs="宋体"/>
                <w:color w:val="000000"/>
                <w:szCs w:val="21"/>
                <w:lang w:val="en-US" w:eastAsia="zh-CN"/>
              </w:rPr>
              <w:t>413.63</w:t>
            </w:r>
          </w:p>
        </w:tc>
      </w:tr>
    </w:tbl>
    <w:p>
      <w:pPr>
        <w:widowControl/>
        <w:spacing w:before="157" w:beforeLines="50"/>
        <w:jc w:val="left"/>
        <w:rPr>
          <w:rFonts w:ascii="宋体" w:hAnsi="宋体" w:cs="宋体"/>
          <w:color w:val="000000"/>
          <w:kern w:val="0"/>
          <w:szCs w:val="21"/>
        </w:rPr>
      </w:pPr>
      <w:r>
        <w:rPr>
          <w:rFonts w:hint="eastAsia" w:ascii="宋体" w:hAnsi="宋体" w:cs="宋体"/>
          <w:color w:val="000000"/>
          <w:kern w:val="0"/>
          <w:szCs w:val="21"/>
        </w:rPr>
        <w:t>注：本表反映</w:t>
      </w:r>
      <w:r>
        <w:rPr>
          <w:rFonts w:hint="eastAsia" w:ascii="宋体" w:hAnsi="宋体" w:cs="宋体"/>
          <w:color w:val="000000"/>
          <w:kern w:val="0"/>
          <w:szCs w:val="21"/>
          <w:lang w:eastAsia="zh-CN"/>
        </w:rPr>
        <w:t>单位</w:t>
      </w:r>
      <w:r>
        <w:rPr>
          <w:rFonts w:hint="eastAsia" w:ascii="宋体" w:hAnsi="宋体" w:cs="宋体"/>
          <w:color w:val="000000"/>
          <w:kern w:val="0"/>
          <w:szCs w:val="21"/>
        </w:rPr>
        <w:t>本年度的总收支和年末结转结余情况。本表金额转换为万元时，因四舍五入可能存在尾差。</w:t>
      </w:r>
      <w:r>
        <w:rPr>
          <w:rFonts w:ascii="宋体" w:hAnsi="宋体" w:cs="宋体"/>
          <w:color w:val="000000"/>
          <w:kern w:val="0"/>
          <w:szCs w:val="21"/>
        </w:rPr>
        <w:br w:type="page"/>
      </w:r>
    </w:p>
    <w:p>
      <w:pPr>
        <w:jc w:val="center"/>
        <w:rPr>
          <w:rFonts w:ascii="黑体" w:hAnsi="黑体" w:eastAsia="黑体" w:cs="宋体"/>
          <w:bCs/>
          <w:color w:val="000000"/>
          <w:sz w:val="32"/>
          <w:szCs w:val="32"/>
        </w:rPr>
      </w:pPr>
      <w:r>
        <w:rPr>
          <w:rFonts w:hint="eastAsia" w:ascii="黑体" w:hAnsi="黑体" w:eastAsia="黑体" w:cs="宋体"/>
          <w:bCs/>
          <w:color w:val="000000"/>
          <w:sz w:val="32"/>
          <w:szCs w:val="32"/>
        </w:rPr>
        <w:t>收入决算表</w:t>
      </w:r>
    </w:p>
    <w:p>
      <w:pPr>
        <w:rPr>
          <w:rFonts w:ascii="宋体" w:hAnsi="宋体" w:cs="宋体"/>
          <w:b/>
          <w:bCs/>
          <w:color w:val="000000"/>
          <w:szCs w:val="21"/>
        </w:rPr>
      </w:pP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宋体" w:hAnsi="宋体" w:cs="宋体"/>
          <w:b/>
          <w:bCs/>
          <w:color w:val="000000"/>
          <w:szCs w:val="21"/>
        </w:rPr>
        <w:t xml:space="preserve">       公开02表</w:t>
      </w:r>
    </w:p>
    <w:p>
      <w:pPr>
        <w:ind w:left="-2" w:leftChars="-27" w:hanging="55" w:hangingChars="26"/>
        <w:rPr>
          <w:rFonts w:ascii="宋体" w:hAnsi="宋体" w:cs="宋体"/>
          <w:b/>
          <w:bCs/>
          <w:color w:val="000000"/>
          <w:sz w:val="48"/>
          <w:szCs w:val="48"/>
        </w:rPr>
      </w:pPr>
      <w:r>
        <w:rPr>
          <w:rFonts w:hint="eastAsia" w:ascii="宋体" w:hAnsi="宋体" w:cs="宋体"/>
          <w:b/>
          <w:bCs/>
          <w:color w:val="000000"/>
          <w:szCs w:val="21"/>
        </w:rPr>
        <w:t>编制</w:t>
      </w:r>
      <w:r>
        <w:rPr>
          <w:rFonts w:hint="eastAsia" w:ascii="宋体" w:hAnsi="宋体" w:cs="宋体"/>
          <w:b/>
          <w:bCs/>
          <w:color w:val="000000"/>
          <w:szCs w:val="21"/>
          <w:lang w:eastAsia="zh-CN"/>
        </w:rPr>
        <w:t>单位</w:t>
      </w:r>
      <w:r>
        <w:rPr>
          <w:rFonts w:hint="eastAsia" w:ascii="宋体" w:hAnsi="宋体" w:cs="宋体"/>
          <w:b/>
          <w:bCs/>
          <w:color w:val="000000"/>
          <w:szCs w:val="21"/>
        </w:rPr>
        <w:t>：</w:t>
      </w:r>
      <w:r>
        <w:rPr>
          <w:rFonts w:hint="eastAsia" w:ascii="宋体" w:hAnsi="宋体" w:cs="宋体"/>
          <w:b/>
          <w:bCs/>
          <w:color w:val="000000"/>
          <w:szCs w:val="21"/>
          <w:lang w:val="en-US" w:eastAsia="zh-CN"/>
        </w:rPr>
        <w:t>榆林市城镇生态园林技术服务中心</w:t>
      </w:r>
      <w:r>
        <w:rPr>
          <w:rFonts w:hint="eastAsia" w:ascii="宋体" w:hAnsi="宋体" w:cs="宋体"/>
          <w:b/>
          <w:bCs/>
          <w:color w:val="000000"/>
          <w:szCs w:val="21"/>
        </w:rPr>
        <w:t xml:space="preserve">   </w:t>
      </w:r>
      <w:r>
        <w:rPr>
          <w:rFonts w:hint="eastAsia" w:ascii="宋体" w:hAnsi="宋体" w:cs="宋体"/>
          <w:b/>
          <w:bCs/>
          <w:color w:val="000000"/>
          <w:szCs w:val="21"/>
          <w:lang w:val="en-US" w:eastAsia="zh-CN"/>
        </w:rPr>
        <w:t xml:space="preserve"> </w:t>
      </w:r>
      <w:r>
        <w:rPr>
          <w:rFonts w:hint="eastAsia" w:ascii="宋体" w:hAnsi="宋体" w:cs="宋体"/>
          <w:b/>
          <w:bCs/>
          <w:color w:val="000000"/>
          <w:szCs w:val="21"/>
        </w:rPr>
        <w:t xml:space="preserve">                          金额单位：万元</w:t>
      </w:r>
    </w:p>
    <w:tbl>
      <w:tblPr>
        <w:tblStyle w:val="8"/>
        <w:tblW w:w="8900" w:type="dxa"/>
        <w:jc w:val="center"/>
        <w:tblLayout w:type="fixed"/>
        <w:tblCellMar>
          <w:top w:w="15" w:type="dxa"/>
          <w:left w:w="15" w:type="dxa"/>
          <w:bottom w:w="15" w:type="dxa"/>
          <w:right w:w="15" w:type="dxa"/>
        </w:tblCellMar>
      </w:tblPr>
      <w:tblGrid>
        <w:gridCol w:w="834"/>
        <w:gridCol w:w="2662"/>
        <w:gridCol w:w="713"/>
        <w:gridCol w:w="687"/>
        <w:gridCol w:w="750"/>
        <w:gridCol w:w="550"/>
        <w:gridCol w:w="700"/>
        <w:gridCol w:w="575"/>
        <w:gridCol w:w="863"/>
        <w:gridCol w:w="566"/>
      </w:tblGrid>
      <w:tr>
        <w:tblPrEx>
          <w:tblCellMar>
            <w:top w:w="15" w:type="dxa"/>
            <w:left w:w="15" w:type="dxa"/>
            <w:bottom w:w="15" w:type="dxa"/>
            <w:right w:w="15" w:type="dxa"/>
          </w:tblCellMar>
        </w:tblPrEx>
        <w:trPr>
          <w:trHeight w:val="457" w:hRule="atLeast"/>
          <w:jc w:val="center"/>
        </w:trPr>
        <w:tc>
          <w:tcPr>
            <w:tcW w:w="34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663" w:hRule="atLeast"/>
          <w:jc w:val="center"/>
        </w:trPr>
        <w:tc>
          <w:tcPr>
            <w:tcW w:w="83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66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其中：教育收费</w:t>
            </w: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57" w:hRule="atLeast"/>
          <w:jc w:val="center"/>
        </w:trPr>
        <w:tc>
          <w:tcPr>
            <w:tcW w:w="34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413.63</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413.63</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205</w:t>
            </w:r>
            <w:r>
              <w:rPr>
                <w:rFonts w:hint="eastAsia" w:ascii="宋体" w:hAnsi="宋体" w:cs="宋体"/>
                <w:color w:val="000000"/>
                <w:kern w:val="0"/>
                <w:szCs w:val="21"/>
              </w:rPr>
              <w:tab/>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教育支出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20508</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进修及培训</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2050803</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培训支出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w:t>
            </w:r>
            <w:r>
              <w:rPr>
                <w:rFonts w:hint="eastAsia" w:ascii="宋体" w:hAnsi="宋体" w:cs="宋体"/>
                <w:color w:val="000000"/>
                <w:kern w:val="0"/>
                <w:szCs w:val="21"/>
              </w:rPr>
              <w:tab/>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社会保障和就业支出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32.30</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32.30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20805</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行政事业单位养老支出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32.12</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32.12</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2080505</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机关事业单位基本养老保险缴费支出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21.27</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21.27</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2080506</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机关事业单位职业年金缴费支出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10.85</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10.85</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20899</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其他社会保障和就业支出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2089999</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其他社会保障和就业支出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210</w:t>
            </w:r>
            <w:r>
              <w:rPr>
                <w:rFonts w:hint="eastAsia" w:ascii="宋体" w:hAnsi="宋体" w:cs="宋体"/>
                <w:color w:val="000000"/>
                <w:kern w:val="0"/>
                <w:szCs w:val="21"/>
              </w:rPr>
              <w:tab/>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卫生健康支出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21011</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行政事业单位医疗</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2101102</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事业单位医疗</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212</w:t>
            </w:r>
            <w:r>
              <w:rPr>
                <w:rFonts w:hint="eastAsia" w:ascii="宋体" w:hAnsi="宋体" w:cs="宋体"/>
                <w:color w:val="000000"/>
                <w:kern w:val="0"/>
                <w:szCs w:val="21"/>
              </w:rPr>
              <w:tab/>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城乡社区支出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21299</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其他城乡社区支出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2129999</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其他城乡社区支出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221</w:t>
            </w:r>
            <w:r>
              <w:rPr>
                <w:rFonts w:hint="eastAsia" w:ascii="宋体" w:hAnsi="宋体" w:cs="宋体"/>
                <w:color w:val="000000"/>
                <w:kern w:val="0"/>
                <w:szCs w:val="21"/>
              </w:rPr>
              <w:tab/>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住房保障支出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22102</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住房改革支出</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67"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2210201</w:t>
            </w:r>
          </w:p>
        </w:tc>
        <w:tc>
          <w:tcPr>
            <w:tcW w:w="26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住房公积金</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spacing w:before="157" w:beforeLines="50"/>
        <w:jc w:val="left"/>
        <w:rPr>
          <w:color w:val="000000"/>
        </w:rPr>
      </w:pPr>
      <w:r>
        <w:rPr>
          <w:rFonts w:hint="eastAsia" w:ascii="宋体" w:hAnsi="宋体" w:cs="宋体"/>
          <w:color w:val="000000"/>
          <w:szCs w:val="21"/>
        </w:rPr>
        <w:t>注：本表反映</w:t>
      </w:r>
      <w:r>
        <w:rPr>
          <w:rFonts w:hint="eastAsia" w:ascii="宋体" w:hAnsi="宋体" w:cs="宋体"/>
          <w:color w:val="000000"/>
          <w:szCs w:val="21"/>
          <w:lang w:eastAsia="zh-CN"/>
        </w:rPr>
        <w:t>单位</w:t>
      </w:r>
      <w:r>
        <w:rPr>
          <w:rFonts w:hint="eastAsia" w:ascii="宋体" w:hAnsi="宋体" w:cs="宋体"/>
          <w:color w:val="000000"/>
          <w:szCs w:val="21"/>
        </w:rPr>
        <w:t>本年度取得的各项收入情况。</w:t>
      </w:r>
      <w:r>
        <w:rPr>
          <w:rFonts w:hint="eastAsia" w:ascii="宋体" w:hAnsi="宋体" w:cs="宋体"/>
          <w:color w:val="000000"/>
          <w:kern w:val="0"/>
          <w:szCs w:val="21"/>
        </w:rPr>
        <w:t>本表金额转换为万元时，因四舍五入可能存在尾差。</w:t>
      </w:r>
    </w:p>
    <w:p>
      <w:pPr>
        <w:jc w:val="center"/>
        <w:rPr>
          <w:rFonts w:ascii="黑体" w:hAnsi="黑体" w:eastAsia="黑体" w:cs="宋体"/>
          <w:bCs/>
          <w:color w:val="000000"/>
          <w:sz w:val="32"/>
          <w:szCs w:val="32"/>
        </w:rPr>
      </w:pPr>
      <w:r>
        <w:rPr>
          <w:rFonts w:hint="eastAsia" w:ascii="黑体" w:hAnsi="黑体" w:eastAsia="黑体" w:cs="宋体"/>
          <w:bCs/>
          <w:color w:val="000000"/>
          <w:sz w:val="32"/>
          <w:szCs w:val="32"/>
        </w:rPr>
        <w:t>支出决算表</w:t>
      </w:r>
    </w:p>
    <w:p>
      <w:pPr>
        <w:rPr>
          <w:rFonts w:ascii="宋体" w:hAnsi="宋体" w:cs="宋体"/>
          <w:b/>
          <w:bCs/>
          <w:color w:val="000000"/>
          <w:szCs w:val="21"/>
        </w:rPr>
      </w:pPr>
      <w:r>
        <w:rPr>
          <w:rFonts w:hint="eastAsia" w:ascii="宋体" w:hAnsi="宋体" w:cs="宋体"/>
          <w:b/>
          <w:bCs/>
          <w:color w:val="000000"/>
          <w:sz w:val="24"/>
        </w:rPr>
        <w:t xml:space="preserve">                        </w:t>
      </w:r>
      <w:r>
        <w:rPr>
          <w:rFonts w:hint="eastAsia" w:ascii="宋体" w:hAnsi="宋体" w:cs="宋体"/>
          <w:b/>
          <w:bCs/>
          <w:color w:val="000000"/>
          <w:szCs w:val="21"/>
        </w:rPr>
        <w:t xml:space="preserve">                                               公开03表</w:t>
      </w:r>
    </w:p>
    <w:p>
      <w:pPr>
        <w:ind w:left="-2" w:leftChars="-20" w:hanging="40" w:hangingChars="19"/>
        <w:rPr>
          <w:rFonts w:ascii="宋体" w:hAnsi="宋体" w:cs="宋体"/>
          <w:b/>
          <w:bCs/>
          <w:color w:val="000000"/>
          <w:sz w:val="48"/>
          <w:szCs w:val="48"/>
        </w:rPr>
      </w:pPr>
      <w:r>
        <w:rPr>
          <w:rFonts w:hint="eastAsia" w:ascii="宋体" w:hAnsi="宋体" w:cs="宋体"/>
          <w:b/>
          <w:bCs/>
          <w:color w:val="000000"/>
          <w:szCs w:val="21"/>
        </w:rPr>
        <w:t>编制</w:t>
      </w:r>
      <w:r>
        <w:rPr>
          <w:rFonts w:hint="eastAsia" w:ascii="宋体" w:hAnsi="宋体" w:cs="宋体"/>
          <w:b/>
          <w:bCs/>
          <w:color w:val="000000"/>
          <w:szCs w:val="21"/>
          <w:lang w:eastAsia="zh-CN"/>
        </w:rPr>
        <w:t>单位</w:t>
      </w:r>
      <w:r>
        <w:rPr>
          <w:rFonts w:hint="eastAsia" w:ascii="宋体" w:hAnsi="宋体" w:cs="宋体"/>
          <w:b/>
          <w:bCs/>
          <w:color w:val="000000"/>
          <w:szCs w:val="21"/>
        </w:rPr>
        <w:t>：</w:t>
      </w:r>
      <w:r>
        <w:rPr>
          <w:rFonts w:hint="eastAsia" w:ascii="宋体" w:hAnsi="宋体" w:cs="宋体"/>
          <w:b/>
          <w:bCs/>
          <w:color w:val="000000"/>
          <w:szCs w:val="21"/>
          <w:lang w:val="en-US" w:eastAsia="zh-CN"/>
        </w:rPr>
        <w:t>榆林市城镇生态园林技术服务中心</w:t>
      </w:r>
      <w:r>
        <w:rPr>
          <w:rFonts w:hint="eastAsia" w:ascii="宋体" w:hAnsi="宋体" w:cs="宋体"/>
          <w:b/>
          <w:bCs/>
          <w:color w:val="000000"/>
          <w:szCs w:val="21"/>
        </w:rPr>
        <w:t xml:space="preserve">   </w:t>
      </w:r>
      <w:r>
        <w:rPr>
          <w:rFonts w:hint="eastAsia" w:ascii="宋体" w:hAnsi="宋体" w:cs="宋体"/>
          <w:b/>
          <w:bCs/>
          <w:color w:val="000000"/>
          <w:szCs w:val="21"/>
          <w:lang w:val="en-US" w:eastAsia="zh-CN"/>
        </w:rPr>
        <w:t xml:space="preserve"> </w:t>
      </w:r>
      <w:r>
        <w:rPr>
          <w:rFonts w:hint="eastAsia" w:ascii="宋体" w:hAnsi="宋体" w:cs="宋体"/>
          <w:b/>
          <w:bCs/>
          <w:color w:val="000000"/>
          <w:szCs w:val="21"/>
        </w:rPr>
        <w:t xml:space="preserve">                          金额单位：万元</w:t>
      </w:r>
    </w:p>
    <w:tbl>
      <w:tblPr>
        <w:tblStyle w:val="8"/>
        <w:tblW w:w="8913" w:type="dxa"/>
        <w:jc w:val="center"/>
        <w:tblLayout w:type="fixed"/>
        <w:tblCellMar>
          <w:top w:w="15" w:type="dxa"/>
          <w:left w:w="15" w:type="dxa"/>
          <w:bottom w:w="15" w:type="dxa"/>
          <w:right w:w="15" w:type="dxa"/>
        </w:tblCellMar>
      </w:tblPr>
      <w:tblGrid>
        <w:gridCol w:w="941"/>
        <w:gridCol w:w="2675"/>
        <w:gridCol w:w="1000"/>
        <w:gridCol w:w="937"/>
        <w:gridCol w:w="1013"/>
        <w:gridCol w:w="700"/>
        <w:gridCol w:w="487"/>
        <w:gridCol w:w="1160"/>
      </w:tblGrid>
      <w:tr>
        <w:tblPrEx>
          <w:tblCellMar>
            <w:top w:w="15" w:type="dxa"/>
            <w:left w:w="15" w:type="dxa"/>
            <w:bottom w:w="15" w:type="dxa"/>
            <w:right w:w="15" w:type="dxa"/>
          </w:tblCellMar>
        </w:tblPrEx>
        <w:trPr>
          <w:trHeight w:val="388" w:hRule="atLeast"/>
          <w:jc w:val="center"/>
        </w:trPr>
        <w:tc>
          <w:tcPr>
            <w:tcW w:w="36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4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33"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8" w:hRule="atLeast"/>
          <w:jc w:val="center"/>
        </w:trPr>
        <w:tc>
          <w:tcPr>
            <w:tcW w:w="36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413.63</w:t>
            </w:r>
          </w:p>
        </w:tc>
        <w:tc>
          <w:tcPr>
            <w:tcW w:w="9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233.63</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180.00</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205</w:t>
            </w:r>
            <w:r>
              <w:rPr>
                <w:rFonts w:hint="eastAsia" w:ascii="宋体" w:hAnsi="宋体" w:cs="宋体"/>
                <w:color w:val="000000"/>
                <w:kern w:val="0"/>
                <w:szCs w:val="21"/>
              </w:rPr>
              <w:tab/>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教育支出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20508</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进修及培训</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2050803</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培训支出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w:t>
            </w:r>
            <w:r>
              <w:rPr>
                <w:rFonts w:hint="eastAsia" w:ascii="宋体" w:hAnsi="宋体" w:cs="宋体"/>
                <w:color w:val="000000"/>
                <w:kern w:val="0"/>
                <w:szCs w:val="21"/>
              </w:rPr>
              <w:tab/>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社会保障和就业支出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32.30</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32.30</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20805</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行政事业单位养老支出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32.12</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32.12</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2080505</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机关事业单位基本养老保险缴费支出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21.27</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21.27</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2080506</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机关事业单位职业年金缴费支出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10.85</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10.85</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20899</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其他社会保障和就业支出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2089999</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其他社会保障和就业支出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210</w:t>
            </w:r>
            <w:r>
              <w:rPr>
                <w:rFonts w:hint="eastAsia" w:ascii="宋体" w:hAnsi="宋体" w:cs="宋体"/>
                <w:color w:val="000000"/>
                <w:kern w:val="0"/>
                <w:szCs w:val="21"/>
              </w:rPr>
              <w:tab/>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卫生健康支出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21011</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行政事业单位医疗</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2101102</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事业单位医疗</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212</w:t>
            </w:r>
            <w:r>
              <w:rPr>
                <w:rFonts w:hint="eastAsia" w:ascii="宋体" w:hAnsi="宋体" w:cs="宋体"/>
                <w:color w:val="000000"/>
                <w:kern w:val="0"/>
                <w:szCs w:val="21"/>
              </w:rPr>
              <w:tab/>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城乡社区支出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172.62</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179.79</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21299</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其他城乡社区支出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172.62</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179.79</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2129999</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其他城乡社区支出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172.62</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179.79</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221</w:t>
            </w:r>
            <w:r>
              <w:rPr>
                <w:rFonts w:hint="eastAsia" w:ascii="宋体" w:hAnsi="宋体" w:cs="宋体"/>
                <w:color w:val="000000"/>
                <w:kern w:val="0"/>
                <w:szCs w:val="21"/>
              </w:rPr>
              <w:tab/>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住房保障支出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22102</w:t>
            </w:r>
            <w:r>
              <w:rPr>
                <w:rFonts w:hint="eastAsia" w:ascii="宋体" w:hAnsi="宋体" w:cs="宋体"/>
                <w:color w:val="000000"/>
                <w:kern w:val="0"/>
                <w:szCs w:val="21"/>
              </w:rPr>
              <w:tab/>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住房改革支出</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2210201</w:t>
            </w:r>
          </w:p>
        </w:tc>
        <w:tc>
          <w:tcPr>
            <w:tcW w:w="267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住房公积金</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8"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color w:val="000000"/>
          <w:kern w:val="0"/>
          <w:szCs w:val="21"/>
        </w:rPr>
      </w:pPr>
      <w:r>
        <w:rPr>
          <w:rFonts w:hint="eastAsia" w:ascii="宋体" w:hAnsi="宋体" w:cs="宋体"/>
          <w:color w:val="000000"/>
          <w:szCs w:val="21"/>
        </w:rPr>
        <w:t>注：本表反映</w:t>
      </w:r>
      <w:r>
        <w:rPr>
          <w:rFonts w:hint="eastAsia" w:ascii="宋体" w:hAnsi="宋体" w:cs="宋体"/>
          <w:color w:val="000000"/>
          <w:szCs w:val="21"/>
          <w:lang w:eastAsia="zh-CN"/>
        </w:rPr>
        <w:t>单位</w:t>
      </w:r>
      <w:r>
        <w:rPr>
          <w:rFonts w:hint="eastAsia" w:ascii="宋体" w:hAnsi="宋体" w:cs="宋体"/>
          <w:color w:val="000000"/>
          <w:szCs w:val="21"/>
        </w:rPr>
        <w:t>本年度各项支出情况。</w:t>
      </w:r>
      <w:r>
        <w:rPr>
          <w:rFonts w:hint="eastAsia" w:ascii="宋体" w:hAnsi="宋体" w:cs="宋体"/>
          <w:color w:val="000000"/>
          <w:kern w:val="0"/>
          <w:szCs w:val="21"/>
        </w:rPr>
        <w:t>本表金额转换为万元时，因四舍五入可能存在尾差。</w:t>
      </w:r>
      <w:r>
        <w:rPr>
          <w:rFonts w:ascii="宋体" w:hAnsi="宋体" w:cs="宋体"/>
          <w:color w:val="000000"/>
          <w:kern w:val="0"/>
          <w:szCs w:val="21"/>
        </w:rPr>
        <w:br w:type="page"/>
      </w:r>
    </w:p>
    <w:p>
      <w:pPr>
        <w:jc w:val="center"/>
        <w:rPr>
          <w:rFonts w:ascii="黑体" w:hAnsi="黑体" w:eastAsia="黑体" w:cs="宋体"/>
          <w:bCs/>
          <w:color w:val="000000"/>
          <w:sz w:val="32"/>
          <w:szCs w:val="32"/>
        </w:rPr>
      </w:pPr>
      <w:r>
        <w:rPr>
          <w:rFonts w:hint="eastAsia" w:ascii="黑体" w:hAnsi="黑体" w:eastAsia="黑体" w:cs="宋体"/>
          <w:bCs/>
          <w:color w:val="000000"/>
          <w:sz w:val="32"/>
          <w:szCs w:val="32"/>
        </w:rPr>
        <w:t>财政拨款收入支出决算总表</w:t>
      </w:r>
    </w:p>
    <w:p>
      <w:pPr>
        <w:ind w:right="-244" w:rightChars="-116"/>
        <w:rPr>
          <w:rFonts w:ascii="宋体" w:hAnsi="宋体" w:cs="宋体"/>
          <w:b/>
          <w:bCs/>
          <w:color w:val="000000"/>
          <w:szCs w:val="21"/>
        </w:rPr>
      </w:pP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宋体" w:hAnsi="宋体" w:cs="宋体"/>
          <w:b/>
          <w:bCs/>
          <w:color w:val="000000"/>
          <w:szCs w:val="21"/>
        </w:rPr>
        <w:t>公开04表</w:t>
      </w:r>
    </w:p>
    <w:p>
      <w:pPr>
        <w:ind w:left="1" w:leftChars="-53" w:right="-44" w:rightChars="-21" w:hanging="112" w:hangingChars="53"/>
        <w:rPr>
          <w:rFonts w:ascii="宋体" w:hAnsi="宋体" w:cs="宋体"/>
          <w:b/>
          <w:bCs/>
          <w:color w:val="000000"/>
          <w:szCs w:val="21"/>
        </w:rPr>
      </w:pPr>
      <w:r>
        <w:rPr>
          <w:rFonts w:hint="eastAsia" w:ascii="宋体" w:hAnsi="宋体" w:cs="宋体"/>
          <w:b/>
          <w:bCs/>
          <w:color w:val="000000"/>
          <w:szCs w:val="21"/>
        </w:rPr>
        <w:t>编制</w:t>
      </w:r>
      <w:r>
        <w:rPr>
          <w:rFonts w:hint="eastAsia" w:ascii="宋体" w:hAnsi="宋体" w:cs="宋体"/>
          <w:b/>
          <w:bCs/>
          <w:color w:val="000000"/>
          <w:szCs w:val="21"/>
          <w:lang w:eastAsia="zh-CN"/>
        </w:rPr>
        <w:t>单位</w:t>
      </w:r>
      <w:r>
        <w:rPr>
          <w:rFonts w:hint="eastAsia" w:ascii="宋体" w:hAnsi="宋体" w:cs="宋体"/>
          <w:b/>
          <w:bCs/>
          <w:color w:val="000000"/>
          <w:szCs w:val="21"/>
        </w:rPr>
        <w:t>：</w:t>
      </w:r>
      <w:r>
        <w:rPr>
          <w:rFonts w:hint="eastAsia" w:ascii="宋体" w:hAnsi="宋体" w:cs="宋体"/>
          <w:b/>
          <w:bCs/>
          <w:color w:val="000000"/>
          <w:szCs w:val="21"/>
          <w:lang w:val="en-US" w:eastAsia="zh-CN"/>
        </w:rPr>
        <w:t>榆林市城镇生态园林技术服务中心</w:t>
      </w:r>
      <w:r>
        <w:rPr>
          <w:rFonts w:hint="eastAsia" w:ascii="宋体" w:hAnsi="宋体" w:cs="宋体"/>
          <w:b/>
          <w:bCs/>
          <w:color w:val="000000"/>
          <w:szCs w:val="21"/>
        </w:rPr>
        <w:t xml:space="preserve">   </w:t>
      </w:r>
      <w:r>
        <w:rPr>
          <w:rFonts w:hint="eastAsia" w:ascii="宋体" w:hAnsi="宋体" w:cs="宋体"/>
          <w:b/>
          <w:bCs/>
          <w:color w:val="000000"/>
          <w:szCs w:val="21"/>
          <w:lang w:val="en-US" w:eastAsia="zh-CN"/>
        </w:rPr>
        <w:t xml:space="preserve"> </w:t>
      </w:r>
      <w:r>
        <w:rPr>
          <w:rFonts w:hint="eastAsia" w:ascii="宋体" w:hAnsi="宋体" w:cs="宋体"/>
          <w:b/>
          <w:bCs/>
          <w:color w:val="000000"/>
          <w:szCs w:val="21"/>
        </w:rPr>
        <w:t xml:space="preserve">                          金额单位：万元</w:t>
      </w:r>
    </w:p>
    <w:tbl>
      <w:tblPr>
        <w:tblStyle w:val="8"/>
        <w:tblW w:w="8982" w:type="dxa"/>
        <w:jc w:val="center"/>
        <w:tblLayout w:type="fixed"/>
        <w:tblCellMar>
          <w:top w:w="15" w:type="dxa"/>
          <w:left w:w="15" w:type="dxa"/>
          <w:bottom w:w="15" w:type="dxa"/>
          <w:right w:w="15" w:type="dxa"/>
        </w:tblCellMar>
      </w:tblPr>
      <w:tblGrid>
        <w:gridCol w:w="1446"/>
        <w:gridCol w:w="1040"/>
        <w:gridCol w:w="2334"/>
        <w:gridCol w:w="810"/>
        <w:gridCol w:w="1017"/>
        <w:gridCol w:w="1168"/>
        <w:gridCol w:w="1167"/>
      </w:tblGrid>
      <w:tr>
        <w:tblPrEx>
          <w:tblCellMar>
            <w:top w:w="15" w:type="dxa"/>
            <w:left w:w="15" w:type="dxa"/>
            <w:bottom w:w="15" w:type="dxa"/>
            <w:right w:w="15" w:type="dxa"/>
          </w:tblCellMar>
        </w:tblPrEx>
        <w:trPr>
          <w:trHeight w:val="271" w:hRule="exact"/>
          <w:jc w:val="center"/>
        </w:trPr>
        <w:tc>
          <w:tcPr>
            <w:tcW w:w="2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sz w:val="18"/>
                <w:szCs w:val="18"/>
              </w:rPr>
              <w:t>收入</w:t>
            </w:r>
          </w:p>
        </w:tc>
        <w:tc>
          <w:tcPr>
            <w:tcW w:w="532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sz w:val="18"/>
                <w:szCs w:val="18"/>
              </w:rPr>
              <w:t>支出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color w:val="000000"/>
                <w:sz w:val="18"/>
                <w:szCs w:val="18"/>
              </w:rPr>
            </w:pPr>
          </w:p>
        </w:tc>
      </w:tr>
      <w:tr>
        <w:tblPrEx>
          <w:tblCellMar>
            <w:top w:w="15" w:type="dxa"/>
            <w:left w:w="15" w:type="dxa"/>
            <w:bottom w:w="15" w:type="dxa"/>
            <w:right w:w="15" w:type="dxa"/>
          </w:tblCellMar>
        </w:tblPrEx>
        <w:trPr>
          <w:trHeight w:val="40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    目</w:t>
            </w:r>
          </w:p>
          <w:p>
            <w:pPr>
              <w:widowControl/>
              <w:spacing w:line="200" w:lineRule="exact"/>
              <w:jc w:val="center"/>
              <w:textAlignment w:val="center"/>
              <w:rPr>
                <w:rFonts w:ascii="宋体" w:hAnsi="宋体" w:cs="宋体"/>
                <w:b/>
                <w:color w:val="000000"/>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国有资本经营</w:t>
            </w:r>
          </w:p>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r>
      <w:tr>
        <w:tblPrEx>
          <w:tblCellMar>
            <w:top w:w="15" w:type="dxa"/>
            <w:left w:w="15" w:type="dxa"/>
            <w:bottom w:w="15" w:type="dxa"/>
            <w:right w:w="15" w:type="dxa"/>
          </w:tblCellMar>
        </w:tblPrEx>
        <w:trPr>
          <w:trHeight w:val="520"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rPr>
              <w:t>1.一般公共预算财政拨款</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r>
              <w:rPr>
                <w:rFonts w:hint="eastAsia" w:ascii="宋体" w:hAnsi="宋体" w:cs="宋体"/>
                <w:color w:val="000000"/>
                <w:szCs w:val="21"/>
                <w:lang w:val="en-US" w:eastAsia="zh-CN"/>
              </w:rPr>
              <w:t>413.63</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1.一般公共服务支出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2"/>
                <w:sz w:val="18"/>
                <w:szCs w:val="1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eastAsia="宋体" w:cs="宋体"/>
                <w:color w:val="000000"/>
                <w:kern w:val="2"/>
                <w:sz w:val="18"/>
                <w:szCs w:val="18"/>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44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rPr>
              <w:t>2.政府性基金预算财政拨款</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eastAsia="宋体" w:cs="宋体"/>
                <w:color w:val="000000"/>
                <w:kern w:val="0"/>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2.外交支出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2"/>
                <w:sz w:val="18"/>
                <w:szCs w:val="1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eastAsia="宋体" w:cs="宋体"/>
                <w:color w:val="000000"/>
                <w:kern w:val="2"/>
                <w:sz w:val="18"/>
                <w:szCs w:val="18"/>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465"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ind w:left="180" w:hanging="180" w:hangingChars="100"/>
              <w:jc w:val="left"/>
              <w:textAlignment w:val="center"/>
              <w:rPr>
                <w:rFonts w:ascii="宋体" w:hAnsi="宋体" w:cs="宋体"/>
                <w:color w:val="000000"/>
                <w:sz w:val="18"/>
                <w:szCs w:val="18"/>
              </w:rPr>
            </w:pPr>
            <w:r>
              <w:rPr>
                <w:rFonts w:hint="eastAsia" w:ascii="宋体" w:hAnsi="宋体" w:cs="宋体"/>
                <w:color w:val="000000"/>
                <w:sz w:val="18"/>
                <w:szCs w:val="18"/>
              </w:rPr>
              <w:t>3.国有资本经营预算收入</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3.国防支出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2"/>
                <w:sz w:val="18"/>
                <w:szCs w:val="1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eastAsia="宋体" w:cs="宋体"/>
                <w:color w:val="000000"/>
                <w:kern w:val="2"/>
                <w:sz w:val="18"/>
                <w:szCs w:val="18"/>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bottom"/>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4.公共安全支出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2"/>
                <w:sz w:val="18"/>
                <w:szCs w:val="1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eastAsia="宋体" w:cs="宋体"/>
                <w:color w:val="000000"/>
                <w:kern w:val="2"/>
                <w:sz w:val="18"/>
                <w:szCs w:val="18"/>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30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5.教育支出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6.科学技术支出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7.</w:t>
            </w:r>
            <w:r>
              <w:rPr>
                <w:rFonts w:hint="eastAsia" w:ascii="宋体" w:hAnsi="宋体" w:cs="宋体"/>
                <w:color w:val="000000"/>
                <w:spacing w:val="-11"/>
                <w:w w:val="98"/>
                <w:kern w:val="0"/>
                <w:sz w:val="18"/>
                <w:szCs w:val="18"/>
              </w:rPr>
              <w:t>文化旅游体育与传媒支出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8.社会保障和就业支出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32.29</w:t>
            </w: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32.29</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33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r>
              <w:rPr>
                <w:rFonts w:hint="eastAsia" w:ascii="宋体" w:hAnsi="宋体" w:cs="宋体"/>
                <w:color w:val="000000"/>
                <w:sz w:val="18"/>
                <w:szCs w:val="18"/>
              </w:rPr>
              <w:t>9.卫生健康支出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10.节能环保支出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11.城乡社区支出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352.41</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12.农林水支出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13.交通运输支出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306"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14.资源勘探工业信息等支出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15.商业服务业等支出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16.金融支出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17.援助其他地区支出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0"/>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18.自然资源海洋气象等支出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ascii="宋体" w:hAnsi="宋体" w:eastAsia="宋体" w:cs="宋体"/>
                <w:color w:val="000000"/>
                <w:kern w:val="2"/>
                <w:sz w:val="21"/>
                <w:szCs w:val="21"/>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19.住房保障支出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sz w:val="18"/>
                <w:szCs w:val="18"/>
              </w:rPr>
            </w:pPr>
            <w:r>
              <w:rPr>
                <w:rFonts w:hint="eastAsia" w:ascii="宋体" w:hAnsi="宋体" w:cs="宋体"/>
                <w:color w:val="000000"/>
                <w:kern w:val="0"/>
                <w:sz w:val="18"/>
                <w:szCs w:val="18"/>
              </w:rPr>
              <w:t>20.粮油物资储备支出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2"/>
                <w:sz w:val="18"/>
                <w:szCs w:val="1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2"/>
                <w:sz w:val="18"/>
                <w:szCs w:val="18"/>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21.国有资本经营预算支出</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eastAsia="宋体" w:cs="宋体"/>
                <w:color w:val="000000"/>
                <w:kern w:val="2"/>
                <w:sz w:val="18"/>
                <w:szCs w:val="1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eastAsia="宋体" w:cs="宋体"/>
                <w:color w:val="000000"/>
                <w:kern w:val="2"/>
                <w:sz w:val="18"/>
                <w:szCs w:val="18"/>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cs="宋体"/>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right"/>
              <w:textAlignment w:val="center"/>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22.灾害防治及应急管理支出</w:t>
            </w:r>
          </w:p>
        </w:tc>
        <w:tc>
          <w:tcPr>
            <w:tcW w:w="810" w:type="dxa"/>
            <w:tcBorders>
              <w:top w:val="single" w:color="000000" w:sz="4" w:space="0"/>
              <w:bottom w:val="single" w:color="000000" w:sz="4" w:space="0"/>
              <w:right w:val="single" w:color="000000" w:sz="4" w:space="0"/>
            </w:tcBorders>
            <w:vAlign w:val="center"/>
          </w:tcPr>
          <w:p>
            <w:pPr>
              <w:widowControl/>
              <w:spacing w:line="200" w:lineRule="exact"/>
              <w:ind w:firstLine="180" w:firstLineChars="100"/>
              <w:jc w:val="left"/>
              <w:textAlignment w:val="center"/>
              <w:rPr>
                <w:rFonts w:ascii="宋体" w:hAnsi="宋体" w:eastAsia="宋体" w:cs="宋体"/>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spacing w:line="200" w:lineRule="exact"/>
              <w:jc w:val="center"/>
              <w:rPr>
                <w:rFonts w:ascii="宋体" w:hAnsi="宋体" w:eastAsia="宋体" w:cs="宋体"/>
                <w:b/>
                <w:color w:val="000000"/>
                <w:kern w:val="2"/>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c>
          <w:tcPr>
            <w:tcW w:w="1167"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right"/>
              <w:textAlignment w:val="center"/>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23.其他支出</w:t>
            </w:r>
          </w:p>
        </w:tc>
        <w:tc>
          <w:tcPr>
            <w:tcW w:w="810" w:type="dxa"/>
            <w:tcBorders>
              <w:top w:val="single" w:color="000000" w:sz="4" w:space="0"/>
              <w:bottom w:val="single" w:color="000000" w:sz="4" w:space="0"/>
              <w:right w:val="single" w:color="000000" w:sz="4" w:space="0"/>
            </w:tcBorders>
            <w:vAlign w:val="center"/>
          </w:tcPr>
          <w:p>
            <w:pPr>
              <w:widowControl/>
              <w:spacing w:line="200" w:lineRule="exact"/>
              <w:ind w:firstLine="180" w:firstLineChars="100"/>
              <w:jc w:val="left"/>
              <w:textAlignment w:val="center"/>
              <w:rPr>
                <w:rFonts w:ascii="宋体" w:hAnsi="宋体" w:eastAsia="宋体" w:cs="宋体"/>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spacing w:line="200" w:lineRule="exact"/>
              <w:jc w:val="center"/>
              <w:rPr>
                <w:rFonts w:ascii="宋体" w:hAnsi="宋体" w:eastAsia="宋体" w:cs="宋体"/>
                <w:b/>
                <w:color w:val="000000"/>
                <w:kern w:val="2"/>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c>
          <w:tcPr>
            <w:tcW w:w="1167"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right"/>
              <w:textAlignment w:val="center"/>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24.债务还本支出</w:t>
            </w:r>
          </w:p>
        </w:tc>
        <w:tc>
          <w:tcPr>
            <w:tcW w:w="810" w:type="dxa"/>
            <w:tcBorders>
              <w:top w:val="single" w:color="000000" w:sz="4" w:space="0"/>
              <w:bottom w:val="single" w:color="000000" w:sz="4" w:space="0"/>
              <w:right w:val="single" w:color="000000" w:sz="4" w:space="0"/>
            </w:tcBorders>
            <w:vAlign w:val="center"/>
          </w:tcPr>
          <w:p>
            <w:pPr>
              <w:widowControl/>
              <w:spacing w:line="200" w:lineRule="exact"/>
              <w:ind w:firstLine="180" w:firstLineChars="100"/>
              <w:jc w:val="left"/>
              <w:textAlignment w:val="center"/>
              <w:rPr>
                <w:rFonts w:ascii="宋体" w:hAnsi="宋体" w:eastAsia="宋体" w:cs="宋体"/>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spacing w:line="200" w:lineRule="exact"/>
              <w:jc w:val="center"/>
              <w:rPr>
                <w:rFonts w:ascii="宋体" w:hAnsi="宋体" w:eastAsia="宋体" w:cs="宋体"/>
                <w:b/>
                <w:color w:val="000000"/>
                <w:kern w:val="2"/>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c>
          <w:tcPr>
            <w:tcW w:w="1167"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right"/>
              <w:textAlignment w:val="center"/>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25.债务付息支出</w:t>
            </w:r>
          </w:p>
        </w:tc>
        <w:tc>
          <w:tcPr>
            <w:tcW w:w="810" w:type="dxa"/>
            <w:tcBorders>
              <w:top w:val="single" w:color="000000" w:sz="4" w:space="0"/>
              <w:bottom w:val="single" w:color="000000" w:sz="4" w:space="0"/>
              <w:right w:val="single" w:color="000000" w:sz="4" w:space="0"/>
            </w:tcBorders>
            <w:vAlign w:val="center"/>
          </w:tcPr>
          <w:p>
            <w:pPr>
              <w:widowControl/>
              <w:spacing w:line="200" w:lineRule="exact"/>
              <w:ind w:firstLine="180" w:firstLineChars="100"/>
              <w:jc w:val="left"/>
              <w:textAlignment w:val="center"/>
              <w:rPr>
                <w:rFonts w:ascii="宋体" w:hAnsi="宋体" w:eastAsia="宋体" w:cs="宋体"/>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spacing w:line="200" w:lineRule="exact"/>
              <w:jc w:val="center"/>
              <w:rPr>
                <w:rFonts w:ascii="宋体" w:hAnsi="宋体" w:eastAsia="宋体" w:cs="宋体"/>
                <w:b/>
                <w:color w:val="000000"/>
                <w:kern w:val="2"/>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c>
          <w:tcPr>
            <w:tcW w:w="1167"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right"/>
              <w:textAlignment w:val="center"/>
              <w:rPr>
                <w:rFonts w:ascii="宋体" w:hAnsi="宋体" w:eastAsia="宋体" w:cs="宋体"/>
                <w:color w:val="000000"/>
                <w:kern w:val="2"/>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26.抗疫特别国债安排的支出</w:t>
            </w:r>
          </w:p>
        </w:tc>
        <w:tc>
          <w:tcPr>
            <w:tcW w:w="810" w:type="dxa"/>
            <w:tcBorders>
              <w:top w:val="single" w:color="000000" w:sz="4" w:space="0"/>
              <w:bottom w:val="single" w:color="000000" w:sz="4" w:space="0"/>
              <w:right w:val="single" w:color="000000" w:sz="4" w:space="0"/>
            </w:tcBorders>
            <w:vAlign w:val="center"/>
          </w:tcPr>
          <w:p>
            <w:pPr>
              <w:widowControl/>
              <w:spacing w:line="200" w:lineRule="exact"/>
              <w:ind w:firstLine="180" w:firstLineChars="100"/>
              <w:jc w:val="left"/>
              <w:textAlignment w:val="center"/>
              <w:rPr>
                <w:rFonts w:ascii="宋体" w:hAnsi="宋体" w:eastAsia="宋体" w:cs="宋体"/>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spacing w:line="200" w:lineRule="exact"/>
              <w:jc w:val="center"/>
              <w:rPr>
                <w:rFonts w:ascii="宋体" w:hAnsi="宋体" w:eastAsia="宋体" w:cs="宋体"/>
                <w:b/>
                <w:color w:val="000000"/>
                <w:kern w:val="2"/>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c>
          <w:tcPr>
            <w:tcW w:w="1167" w:type="dxa"/>
            <w:tcBorders>
              <w:top w:val="single" w:color="000000" w:sz="4" w:space="0"/>
              <w:bottom w:val="single" w:color="000000" w:sz="4" w:space="0"/>
              <w:right w:val="single" w:color="000000" w:sz="4" w:space="0"/>
            </w:tcBorders>
            <w:vAlign w:val="center"/>
          </w:tcPr>
          <w:p>
            <w:pPr>
              <w:spacing w:line="200" w:lineRule="exact"/>
              <w:rPr>
                <w:rFonts w:ascii="宋体" w:hAnsi="宋体" w:cs="宋体"/>
                <w:b/>
                <w:color w:val="000000"/>
                <w:sz w:val="18"/>
                <w:szCs w:val="18"/>
              </w:rPr>
            </w:pPr>
          </w:p>
        </w:tc>
      </w:tr>
      <w:tr>
        <w:tblPrEx>
          <w:tblCellMar>
            <w:top w:w="15" w:type="dxa"/>
            <w:left w:w="15" w:type="dxa"/>
            <w:bottom w:w="15" w:type="dxa"/>
            <w:right w:w="15" w:type="dxa"/>
          </w:tblCellMar>
        </w:tblPrEx>
        <w:trPr>
          <w:trHeight w:val="27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right"/>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szCs w:val="21"/>
                <w:lang w:val="en-US" w:eastAsia="zh-CN"/>
              </w:rPr>
              <w:t>413.63</w:t>
            </w:r>
            <w:r>
              <w:rPr>
                <w:rFonts w:hint="eastAsia" w:ascii="宋体" w:hAnsi="宋体" w:cs="宋体"/>
                <w:color w:val="000000"/>
                <w:kern w:val="0"/>
                <w:sz w:val="18"/>
                <w:szCs w:val="18"/>
              </w:rPr>
              <w:t xml:space="preserve"> </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81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r>
              <w:rPr>
                <w:rFonts w:hint="eastAsia" w:ascii="宋体" w:hAnsi="宋体" w:cs="宋体"/>
                <w:color w:val="000000"/>
                <w:szCs w:val="21"/>
                <w:lang w:val="en-US" w:eastAsia="zh-CN"/>
              </w:rPr>
              <w:t>413.63</w:t>
            </w:r>
          </w:p>
        </w:tc>
        <w:tc>
          <w:tcPr>
            <w:tcW w:w="101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r>
              <w:rPr>
                <w:rFonts w:hint="eastAsia" w:ascii="宋体" w:hAnsi="宋体" w:cs="宋体"/>
                <w:color w:val="000000"/>
                <w:szCs w:val="21"/>
                <w:lang w:val="en-US" w:eastAsia="zh-CN"/>
              </w:rPr>
              <w:t>413.63</w:t>
            </w:r>
          </w:p>
        </w:tc>
        <w:tc>
          <w:tcPr>
            <w:tcW w:w="1168"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116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r>
      <w:tr>
        <w:tblPrEx>
          <w:tblCellMar>
            <w:top w:w="15" w:type="dxa"/>
            <w:left w:w="15" w:type="dxa"/>
            <w:bottom w:w="15" w:type="dxa"/>
            <w:right w:w="15" w:type="dxa"/>
          </w:tblCellMar>
        </w:tblPrEx>
        <w:trPr>
          <w:trHeight w:val="491" w:hRule="exac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年初财政拨款</w:t>
            </w:r>
          </w:p>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b/>
                <w:color w:val="000000"/>
                <w:kern w:val="0"/>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年末财政拨款</w:t>
            </w:r>
          </w:p>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81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116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r>
      <w:tr>
        <w:tblPrEx>
          <w:tblCellMar>
            <w:top w:w="15" w:type="dxa"/>
            <w:left w:w="15" w:type="dxa"/>
            <w:bottom w:w="15" w:type="dxa"/>
            <w:right w:w="15" w:type="dxa"/>
          </w:tblCellMar>
        </w:tblPrEx>
        <w:trPr>
          <w:trHeight w:val="450"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81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116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r>
      <w:tr>
        <w:tblPrEx>
          <w:tblCellMar>
            <w:top w:w="15" w:type="dxa"/>
            <w:left w:w="15" w:type="dxa"/>
            <w:bottom w:w="15" w:type="dxa"/>
            <w:right w:w="15" w:type="dxa"/>
          </w:tblCellMar>
        </w:tblPrEx>
        <w:trPr>
          <w:trHeight w:val="478"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81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116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r>
      <w:tr>
        <w:tblPrEx>
          <w:tblCellMar>
            <w:top w:w="15" w:type="dxa"/>
            <w:left w:w="15" w:type="dxa"/>
            <w:bottom w:w="15" w:type="dxa"/>
            <w:right w:w="15" w:type="dxa"/>
          </w:tblCellMar>
        </w:tblPrEx>
        <w:trPr>
          <w:trHeight w:val="478"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ind w:left="360" w:hanging="360" w:hangingChars="20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国有资本经营</w:t>
            </w:r>
          </w:p>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81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01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p>
        </w:tc>
        <w:tc>
          <w:tcPr>
            <w:tcW w:w="1168"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116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r>
      <w:tr>
        <w:tblPrEx>
          <w:tblCellMar>
            <w:top w:w="15" w:type="dxa"/>
            <w:left w:w="15" w:type="dxa"/>
            <w:bottom w:w="15" w:type="dxa"/>
            <w:right w:w="15" w:type="dxa"/>
          </w:tblCellMar>
        </w:tblPrEx>
        <w:trPr>
          <w:trHeight w:val="366"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ascii="宋体" w:hAnsi="宋体" w:eastAsia="宋体" w:cs="宋体"/>
                <w:b/>
                <w:color w:val="000000"/>
                <w:kern w:val="0"/>
                <w:sz w:val="18"/>
                <w:szCs w:val="18"/>
                <w:lang w:val="en-US" w:eastAsia="zh-CN" w:bidi="ar-SA"/>
              </w:rPr>
            </w:pPr>
            <w:r>
              <w:rPr>
                <w:rFonts w:hint="eastAsia" w:ascii="宋体" w:hAnsi="宋体" w:cs="宋体"/>
                <w:color w:val="000000"/>
                <w:szCs w:val="21"/>
                <w:lang w:val="en-US" w:eastAsia="zh-CN"/>
              </w:rPr>
              <w:t>413.63</w:t>
            </w:r>
          </w:p>
        </w:tc>
        <w:tc>
          <w:tcPr>
            <w:tcW w:w="233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810"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r>
              <w:rPr>
                <w:rFonts w:hint="eastAsia" w:ascii="宋体" w:hAnsi="宋体" w:cs="宋体"/>
                <w:color w:val="000000"/>
                <w:szCs w:val="21"/>
                <w:lang w:val="en-US" w:eastAsia="zh-CN"/>
              </w:rPr>
              <w:t>413.63</w:t>
            </w:r>
          </w:p>
        </w:tc>
        <w:tc>
          <w:tcPr>
            <w:tcW w:w="101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eastAsia="宋体" w:cs="宋体"/>
                <w:b/>
                <w:color w:val="000000"/>
                <w:kern w:val="0"/>
                <w:sz w:val="18"/>
                <w:szCs w:val="18"/>
                <w:lang w:val="en-US" w:eastAsia="zh-CN" w:bidi="ar-SA"/>
              </w:rPr>
            </w:pPr>
            <w:r>
              <w:rPr>
                <w:rFonts w:hint="eastAsia" w:ascii="宋体" w:hAnsi="宋体" w:cs="宋体"/>
                <w:color w:val="000000"/>
                <w:szCs w:val="21"/>
                <w:lang w:val="en-US" w:eastAsia="zh-CN"/>
              </w:rPr>
              <w:t>413.63</w:t>
            </w:r>
          </w:p>
        </w:tc>
        <w:tc>
          <w:tcPr>
            <w:tcW w:w="1168"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c>
          <w:tcPr>
            <w:tcW w:w="1167" w:type="dxa"/>
            <w:tcBorders>
              <w:top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b/>
                <w:color w:val="000000"/>
                <w:kern w:val="0"/>
                <w:sz w:val="18"/>
                <w:szCs w:val="18"/>
              </w:rPr>
            </w:pPr>
          </w:p>
        </w:tc>
      </w:tr>
    </w:tbl>
    <w:p>
      <w:pPr>
        <w:widowControl/>
        <w:spacing w:line="300" w:lineRule="exact"/>
        <w:jc w:val="left"/>
        <w:rPr>
          <w:rFonts w:ascii="宋体" w:hAnsi="宋体" w:cs="宋体"/>
          <w:color w:val="000000"/>
          <w:kern w:val="0"/>
          <w:szCs w:val="21"/>
        </w:rPr>
      </w:pPr>
      <w:r>
        <w:rPr>
          <w:rFonts w:hint="eastAsia" w:ascii="宋体" w:hAnsi="宋体" w:cs="宋体"/>
          <w:color w:val="000000"/>
          <w:szCs w:val="21"/>
        </w:rPr>
        <w:t>注：本表反映</w:t>
      </w:r>
      <w:r>
        <w:rPr>
          <w:rFonts w:hint="eastAsia" w:ascii="宋体" w:hAnsi="宋体" w:cs="宋体"/>
          <w:color w:val="000000"/>
          <w:szCs w:val="21"/>
          <w:lang w:eastAsia="zh-CN"/>
        </w:rPr>
        <w:t>单位</w:t>
      </w:r>
      <w:r>
        <w:rPr>
          <w:rFonts w:hint="eastAsia" w:ascii="宋体" w:hAnsi="宋体" w:cs="宋体"/>
          <w:color w:val="000000"/>
          <w:szCs w:val="21"/>
        </w:rPr>
        <w:t>本年度一般公共预算财政拨款、政府性基金预算财政拨款和国有资本经营预算财政拨款的总收支和年末结转结余情况。</w:t>
      </w:r>
      <w:r>
        <w:rPr>
          <w:rFonts w:hint="eastAsia" w:ascii="宋体" w:hAnsi="宋体" w:cs="宋体"/>
          <w:color w:val="000000"/>
          <w:kern w:val="0"/>
          <w:szCs w:val="21"/>
        </w:rPr>
        <w:t>本表金额转换为万元时，因四舍五入可能存在尾差。</w:t>
      </w:r>
    </w:p>
    <w:p>
      <w:pPr>
        <w:widowControl/>
        <w:tabs>
          <w:tab w:val="left" w:pos="1560"/>
        </w:tabs>
        <w:rPr>
          <w:rFonts w:ascii="宋体" w:hAnsi="宋体" w:cs="宋体"/>
          <w:color w:val="000000"/>
          <w:kern w:val="0"/>
          <w:szCs w:val="21"/>
        </w:rPr>
      </w:pPr>
      <w:bookmarkStart w:id="0" w:name="_MON_1723558142"/>
      <w:bookmarkEnd w:id="0"/>
      <w:r>
        <w:rPr>
          <w:rFonts w:hint="eastAsia" w:ascii="宋体" w:hAnsi="宋体" w:cs="宋体"/>
          <w:color w:val="000000"/>
          <w:kern w:val="0"/>
          <w:szCs w:val="21"/>
        </w:rPr>
        <w:object>
          <v:shape id="_x0000_i1026" o:spt="75" type="#_x0000_t75" style="height:626.75pt;width:441.55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p>
    <w:p>
      <w:pPr>
        <w:widowControl/>
        <w:jc w:val="center"/>
        <w:rPr>
          <w:rFonts w:ascii="宋体" w:hAnsi="宋体" w:cs="宋体"/>
          <w:color w:val="000000"/>
          <w:kern w:val="0"/>
          <w:szCs w:val="21"/>
        </w:rPr>
      </w:pPr>
      <w:bookmarkStart w:id="1" w:name="_MON_1723560989"/>
      <w:bookmarkEnd w:id="1"/>
    </w:p>
    <w:p>
      <w:pPr>
        <w:widowControl/>
        <w:jc w:val="center"/>
        <w:rPr>
          <w:rFonts w:ascii="宋体" w:hAnsi="宋体" w:cs="宋体"/>
          <w:color w:val="000000"/>
          <w:kern w:val="0"/>
          <w:szCs w:val="21"/>
        </w:rPr>
      </w:pPr>
    </w:p>
    <w:p>
      <w:pPr>
        <w:jc w:val="center"/>
        <w:rPr>
          <w:rFonts w:ascii="黑体" w:hAnsi="黑体" w:eastAsia="黑体" w:cs="宋体"/>
          <w:bCs/>
          <w:color w:val="000000"/>
          <w:sz w:val="32"/>
          <w:szCs w:val="32"/>
        </w:rPr>
      </w:pPr>
      <w:r>
        <w:rPr>
          <w:rFonts w:hint="eastAsia" w:ascii="黑体" w:hAnsi="黑体" w:eastAsia="黑体" w:cs="宋体"/>
          <w:bCs/>
          <w:color w:val="000000"/>
          <w:sz w:val="32"/>
          <w:szCs w:val="32"/>
        </w:rPr>
        <w:t>一般公共预算财政拨款基本支出决算表（按经济分类科目）</w:t>
      </w:r>
    </w:p>
    <w:p>
      <w:pPr>
        <w:rPr>
          <w:rFonts w:ascii="宋体" w:hAnsi="宋体" w:cs="宋体"/>
          <w:b/>
          <w:bCs/>
          <w:color w:val="000000"/>
          <w:szCs w:val="21"/>
        </w:rPr>
      </w:pP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宋体" w:hAnsi="宋体" w:cs="宋体"/>
          <w:b/>
          <w:bCs/>
          <w:color w:val="000000"/>
          <w:szCs w:val="21"/>
        </w:rPr>
        <w:t>公开06表</w:t>
      </w:r>
    </w:p>
    <w:p>
      <w:pPr>
        <w:rPr>
          <w:rFonts w:ascii="宋体" w:hAnsi="宋体" w:cs="宋体"/>
          <w:b/>
          <w:bCs/>
          <w:color w:val="000000"/>
          <w:szCs w:val="21"/>
        </w:rPr>
      </w:pPr>
      <w:r>
        <w:rPr>
          <w:rFonts w:hint="eastAsia" w:ascii="宋体" w:hAnsi="宋体" w:cs="宋体"/>
          <w:b/>
          <w:bCs/>
          <w:color w:val="000000"/>
          <w:szCs w:val="21"/>
        </w:rPr>
        <w:t>编制</w:t>
      </w:r>
      <w:r>
        <w:rPr>
          <w:rFonts w:hint="eastAsia" w:ascii="宋体" w:hAnsi="宋体" w:cs="宋体"/>
          <w:b/>
          <w:bCs/>
          <w:color w:val="000000"/>
          <w:szCs w:val="21"/>
          <w:lang w:eastAsia="zh-CN"/>
        </w:rPr>
        <w:t>单位</w:t>
      </w:r>
      <w:r>
        <w:rPr>
          <w:rFonts w:hint="eastAsia" w:ascii="宋体" w:hAnsi="宋体" w:cs="宋体"/>
          <w:b/>
          <w:bCs/>
          <w:color w:val="000000"/>
          <w:szCs w:val="21"/>
        </w:rPr>
        <w:t>：</w:t>
      </w:r>
      <w:r>
        <w:rPr>
          <w:rFonts w:hint="eastAsia" w:ascii="宋体" w:hAnsi="宋体" w:cs="宋体"/>
          <w:b/>
          <w:bCs/>
          <w:color w:val="000000"/>
          <w:szCs w:val="21"/>
          <w:lang w:val="en-US" w:eastAsia="zh-CN"/>
        </w:rPr>
        <w:t>榆林市城镇生态园林技术服务中心</w:t>
      </w:r>
      <w:r>
        <w:rPr>
          <w:rFonts w:hint="eastAsia" w:ascii="宋体" w:hAnsi="宋体" w:cs="宋体"/>
          <w:b/>
          <w:bCs/>
          <w:color w:val="000000"/>
          <w:szCs w:val="21"/>
        </w:rPr>
        <w:t xml:space="preserve">   </w:t>
      </w:r>
      <w:r>
        <w:rPr>
          <w:rFonts w:hint="eastAsia" w:ascii="宋体" w:hAnsi="宋体" w:cs="宋体"/>
          <w:b/>
          <w:bCs/>
          <w:color w:val="000000"/>
          <w:szCs w:val="21"/>
          <w:lang w:val="en-US" w:eastAsia="zh-CN"/>
        </w:rPr>
        <w:t xml:space="preserve"> </w:t>
      </w:r>
      <w:r>
        <w:rPr>
          <w:rFonts w:hint="eastAsia" w:ascii="宋体" w:hAnsi="宋体" w:cs="宋体"/>
          <w:b/>
          <w:bCs/>
          <w:color w:val="000000"/>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233.63</w:t>
            </w:r>
          </w:p>
        </w:tc>
        <w:tc>
          <w:tcPr>
            <w:tcW w:w="1437" w:type="dxa"/>
            <w:tcBorders>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223.30</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10.34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工资福利支出</w:t>
            </w:r>
            <w:r>
              <w:rPr>
                <w:rFonts w:hint="eastAsia" w:ascii="宋体" w:hAnsi="宋体" w:cs="宋体"/>
                <w:color w:val="000000"/>
                <w:kern w:val="0"/>
                <w:szCs w:val="21"/>
              </w:rPr>
              <w:tab/>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223.30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223.30</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bookmarkStart w:id="4" w:name="_GoBack"/>
            <w:bookmarkEnd w:id="4"/>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78.97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78.97</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32.56</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32.56</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绩效工资</w:t>
            </w:r>
            <w:r>
              <w:rPr>
                <w:rFonts w:hint="eastAsia" w:ascii="宋体" w:hAnsi="宋体" w:cs="宋体"/>
                <w:color w:val="000000"/>
                <w:kern w:val="0"/>
                <w:szCs w:val="21"/>
              </w:rPr>
              <w:tab/>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50.75</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50.75</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21.27</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10.85</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10.85</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10.00</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18.72</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商品和服务支出</w:t>
            </w:r>
            <w:r>
              <w:rPr>
                <w:rFonts w:hint="eastAsia" w:ascii="宋体" w:hAnsi="宋体" w:cs="宋体"/>
                <w:color w:val="000000"/>
                <w:kern w:val="0"/>
                <w:szCs w:val="21"/>
              </w:rPr>
              <w:tab/>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9.81</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9.81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3.18</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3.18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咨询费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0.30</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1.77</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0.72</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资本性支出</w:t>
            </w:r>
            <w:r>
              <w:rPr>
                <w:rFonts w:hint="eastAsia" w:ascii="宋体" w:hAnsi="宋体" w:cs="宋体"/>
                <w:color w:val="000000"/>
                <w:kern w:val="0"/>
                <w:szCs w:val="21"/>
              </w:rPr>
              <w:tab/>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0.53</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0.53</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bl>
    <w:p>
      <w:pPr>
        <w:widowControl/>
        <w:spacing w:before="157" w:beforeLines="50"/>
        <w:jc w:val="left"/>
        <w:rPr>
          <w:color w:val="000000"/>
        </w:rPr>
      </w:pPr>
      <w:r>
        <w:rPr>
          <w:rFonts w:hint="eastAsia" w:ascii="宋体" w:hAnsi="宋体" w:cs="宋体"/>
          <w:color w:val="000000"/>
          <w:szCs w:val="21"/>
        </w:rPr>
        <w:t>注：本表反映</w:t>
      </w:r>
      <w:r>
        <w:rPr>
          <w:rFonts w:hint="eastAsia" w:ascii="宋体" w:hAnsi="宋体" w:cs="宋体"/>
          <w:color w:val="000000"/>
          <w:szCs w:val="21"/>
          <w:lang w:eastAsia="zh-CN"/>
        </w:rPr>
        <w:t>单位</w:t>
      </w:r>
      <w:r>
        <w:rPr>
          <w:rFonts w:hint="eastAsia" w:ascii="宋体" w:hAnsi="宋体" w:cs="宋体"/>
          <w:color w:val="000000"/>
          <w:szCs w:val="21"/>
        </w:rPr>
        <w:t>本年度一般公共预算财政拨款基本支出明细情况。</w:t>
      </w:r>
      <w:r>
        <w:rPr>
          <w:rFonts w:hint="eastAsia" w:ascii="宋体" w:hAnsi="宋体" w:cs="宋体"/>
          <w:color w:val="000000"/>
          <w:kern w:val="0"/>
          <w:szCs w:val="21"/>
        </w:rPr>
        <w:t>本表金额转换为万元时，因四舍五入可能存在尾差。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object>
          <v:shape id="_x0000_i1027" o:spt="75" type="#_x0000_t75" style="height:374.65pt;width:439.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jc w:val="center"/>
        <w:rPr>
          <w:rFonts w:ascii="宋体" w:hAnsi="宋体" w:cs="宋体"/>
          <w:b/>
          <w:bCs/>
          <w:sz w:val="32"/>
          <w:szCs w:val="32"/>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p>
    <w:p>
      <w:pPr>
        <w:rPr>
          <w:rFonts w:ascii="宋体" w:hAnsi="宋体" w:cs="宋体"/>
          <w:szCs w:val="21"/>
        </w:rPr>
      </w:pPr>
      <w:r>
        <w:rPr>
          <w:rFonts w:hint="eastAsia" w:ascii="宋体" w:hAnsi="宋体" w:cs="宋体"/>
          <w:szCs w:val="21"/>
        </w:rPr>
        <w:object>
          <v:shape id="_x0000_i1028" o:spt="75" type="#_x0000_t75" style="height:660.7pt;width:446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p>
    <w:p>
      <w:pPr>
        <w:rPr>
          <w:rFonts w:ascii="宋体" w:hAnsi="宋体" w:cs="宋体"/>
          <w:szCs w:val="21"/>
        </w:rPr>
      </w:pPr>
    </w:p>
    <w:p>
      <w:pPr>
        <w:rPr>
          <w:rFonts w:ascii="宋体" w:hAnsi="宋体" w:cs="宋体"/>
          <w:szCs w:val="21"/>
        </w:rPr>
      </w:pPr>
      <w:r>
        <w:rPr>
          <w:rFonts w:hint="eastAsia" w:ascii="宋体" w:hAnsi="宋体" w:cs="宋体"/>
          <w:szCs w:val="21"/>
        </w:rPr>
        <w:object>
          <v:shape id="_x0000_i1029" o:spt="75" type="#_x0000_t75" style="height:626.25pt;width:438.75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p>
    <w:p>
      <w:pPr>
        <w:spacing w:line="560" w:lineRule="exact"/>
        <w:jc w:val="left"/>
        <w:rPr>
          <w:rFonts w:ascii="方正小标宋简体" w:hAnsi="方正小标宋简体" w:eastAsia="方正小标宋简体" w:cs="方正小标宋简体"/>
          <w:color w:val="000000"/>
          <w:kern w:val="0"/>
          <w:sz w:val="44"/>
          <w:szCs w:val="44"/>
        </w:rPr>
        <w:sectPr>
          <w:pgSz w:w="11906" w:h="16838"/>
          <w:pgMar w:top="1871" w:right="1474" w:bottom="1361" w:left="1644" w:header="851" w:footer="992" w:gutter="0"/>
          <w:pgNumType w:fmt="numberInDash"/>
          <w:cols w:space="720" w:num="1"/>
          <w:docGrid w:type="lines" w:linePitch="315" w:charSpace="0"/>
        </w:sectPr>
      </w:pPr>
    </w:p>
    <w:p>
      <w:pPr>
        <w:spacing w:line="84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第三部分 2021年度</w:t>
      </w:r>
      <w:r>
        <w:rPr>
          <w:rFonts w:hint="eastAsia" w:ascii="方正小标宋简体" w:hAnsi="方正小标宋简体" w:eastAsia="方正小标宋简体" w:cs="方正小标宋简体"/>
          <w:color w:val="000000"/>
          <w:kern w:val="0"/>
          <w:sz w:val="44"/>
          <w:szCs w:val="44"/>
          <w:lang w:eastAsia="zh-CN"/>
        </w:rPr>
        <w:t>单位</w:t>
      </w:r>
      <w:r>
        <w:rPr>
          <w:rFonts w:hint="eastAsia" w:ascii="方正小标宋简体" w:hAnsi="方正小标宋简体" w:eastAsia="方正小标宋简体" w:cs="方正小标宋简体"/>
          <w:color w:val="000000"/>
          <w:kern w:val="0"/>
          <w:sz w:val="44"/>
          <w:szCs w:val="44"/>
        </w:rPr>
        <w:t>决算情况说明</w:t>
      </w:r>
    </w:p>
    <w:p>
      <w:pPr>
        <w:widowControl/>
        <w:spacing w:line="560" w:lineRule="exact"/>
        <w:jc w:val="center"/>
        <w:rPr>
          <w:rFonts w:ascii="黑体" w:hAnsi="宋体" w:eastAsia="黑体"/>
          <w:color w:val="000000"/>
          <w:kern w:val="0"/>
          <w:sz w:val="44"/>
          <w:szCs w:val="44"/>
        </w:rPr>
      </w:pP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本年度收入、支出总计均为</w:t>
      </w:r>
      <w:r>
        <w:rPr>
          <w:rFonts w:hint="eastAsia" w:ascii="仿宋_GB2312" w:hAnsi="仿宋_GB2312" w:eastAsia="仿宋_GB2312" w:cs="仿宋_GB2312"/>
          <w:color w:val="000000"/>
          <w:kern w:val="0"/>
          <w:sz w:val="32"/>
          <w:szCs w:val="32"/>
          <w:lang w:val="en-US" w:eastAsia="zh-CN"/>
        </w:rPr>
        <w:t>413.63</w:t>
      </w:r>
      <w:r>
        <w:rPr>
          <w:rFonts w:hint="eastAsia" w:ascii="仿宋_GB2312" w:hAnsi="仿宋_GB2312" w:eastAsia="仿宋_GB2312" w:cs="仿宋_GB2312"/>
          <w:color w:val="000000"/>
          <w:kern w:val="0"/>
          <w:sz w:val="32"/>
          <w:szCs w:val="32"/>
        </w:rPr>
        <w:t>万元，与</w:t>
      </w:r>
      <w:r>
        <w:rPr>
          <w:rFonts w:hint="eastAsia" w:ascii="仿宋_GB2312" w:hAnsi="仿宋_GB2312" w:eastAsia="仿宋_GB2312" w:cs="仿宋_GB2312"/>
          <w:sz w:val="32"/>
          <w:szCs w:val="32"/>
        </w:rPr>
        <w:t>上年相比收、支总计增加</w:t>
      </w:r>
      <w:r>
        <w:rPr>
          <w:rFonts w:hint="eastAsia" w:ascii="仿宋_GB2312" w:hAnsi="仿宋_GB2312" w:eastAsia="仿宋_GB2312" w:cs="仿宋_GB2312"/>
          <w:sz w:val="32"/>
          <w:szCs w:val="32"/>
          <w:lang w:val="en-US" w:eastAsia="zh-CN"/>
        </w:rPr>
        <w:t>76.19</w:t>
      </w:r>
      <w:r>
        <w:rPr>
          <w:rFonts w:hint="eastAsia" w:ascii="仿宋_GB2312" w:hAnsi="仿宋_GB2312" w:eastAsia="仿宋_GB2312" w:cs="仿宋_GB2312"/>
          <w:color w:val="000000"/>
          <w:kern w:val="0"/>
          <w:sz w:val="32"/>
          <w:szCs w:val="32"/>
        </w:rPr>
        <w:t>万元，增长</w:t>
      </w:r>
      <w:r>
        <w:rPr>
          <w:rFonts w:hint="eastAsia" w:ascii="仿宋_GB2312" w:hAnsi="仿宋_GB2312" w:eastAsia="仿宋_GB2312" w:cs="仿宋_GB2312"/>
          <w:color w:val="000000"/>
          <w:kern w:val="0"/>
          <w:sz w:val="32"/>
          <w:szCs w:val="32"/>
          <w:lang w:val="en-US" w:eastAsia="zh-CN"/>
        </w:rPr>
        <w:t>10.93</w:t>
      </w:r>
      <w:r>
        <w:rPr>
          <w:rFonts w:hint="eastAsia" w:ascii="仿宋_GB2312" w:hAnsi="仿宋_GB2312" w:eastAsia="仿宋_GB2312" w:cs="仿宋_GB2312"/>
          <w:color w:val="000000"/>
          <w:kern w:val="0"/>
          <w:sz w:val="32"/>
          <w:szCs w:val="32"/>
        </w:rPr>
        <w:t>%。主要是人员增加导致工资福利费用收支增加。</w:t>
      </w:r>
    </w:p>
    <w:p>
      <w:pPr>
        <w:spacing w:line="620" w:lineRule="exact"/>
        <w:ind w:firstLine="420" w:firstLineChars="200"/>
        <w:jc w:val="left"/>
        <w:rPr>
          <w:rFonts w:ascii="黑体" w:hAnsi="黑体" w:eastAsia="黑体"/>
          <w:color w:val="000000"/>
          <w:kern w:val="0"/>
          <w:sz w:val="32"/>
          <w:szCs w:val="32"/>
        </w:rPr>
      </w:pPr>
      <w:r>
        <w:drawing>
          <wp:anchor distT="0" distB="0" distL="0" distR="0" simplePos="0" relativeHeight="251659264" behindDoc="0" locked="0" layoutInCell="1" allowOverlap="1">
            <wp:simplePos x="0" y="0"/>
            <wp:positionH relativeFrom="column">
              <wp:posOffset>65405</wp:posOffset>
            </wp:positionH>
            <wp:positionV relativeFrom="paragraph">
              <wp:posOffset>137795</wp:posOffset>
            </wp:positionV>
            <wp:extent cx="5391150" cy="2867025"/>
            <wp:effectExtent l="4445" t="4445" r="14605" b="5080"/>
            <wp:wrapTopAndBottom/>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lang w:val="en-US" w:eastAsia="zh-CN"/>
        </w:rPr>
        <w:t xml:space="preserve">  </w:t>
      </w:r>
      <w:r>
        <w:rPr>
          <w:rFonts w:hint="eastAsia" w:ascii="黑体" w:hAnsi="黑体" w:eastAsia="黑体"/>
          <w:color w:val="000000"/>
          <w:kern w:val="0"/>
          <w:sz w:val="32"/>
          <w:szCs w:val="32"/>
        </w:rPr>
        <w:t>二、收入决算情况说明</w:t>
      </w:r>
    </w:p>
    <w:p>
      <w:pPr>
        <w:spacing w:line="620" w:lineRule="exact"/>
        <w:ind w:firstLine="640" w:firstLineChars="200"/>
        <w:jc w:val="left"/>
        <w:rPr>
          <w:rFonts w:ascii="仿宋_GB2312" w:hAnsi="仿宋" w:eastAsia="仿宋_GB2312"/>
          <w:sz w:val="32"/>
          <w:szCs w:val="32"/>
        </w:rPr>
      </w:pPr>
      <w:r>
        <w:rPr>
          <w:rFonts w:hint="eastAsia" w:ascii="仿宋_GB2312" w:hAnsi="仿宋_GB2312" w:eastAsia="仿宋_GB2312" w:cs="仿宋_GB2312"/>
          <w:color w:val="000000"/>
          <w:kern w:val="0"/>
          <w:sz w:val="32"/>
          <w:szCs w:val="32"/>
        </w:rPr>
        <w:t>本年度收入合计</w:t>
      </w:r>
      <w:r>
        <w:rPr>
          <w:rFonts w:hint="eastAsia" w:ascii="仿宋_GB2312" w:hAnsi="仿宋_GB2312" w:eastAsia="仿宋_GB2312" w:cs="仿宋_GB2312"/>
          <w:color w:val="000000"/>
          <w:kern w:val="0"/>
          <w:sz w:val="32"/>
          <w:szCs w:val="32"/>
          <w:lang w:val="en-US" w:eastAsia="zh-CN"/>
        </w:rPr>
        <w:t>413.63</w:t>
      </w:r>
      <w:r>
        <w:rPr>
          <w:rFonts w:hint="eastAsia" w:ascii="仿宋_GB2312" w:hAnsi="仿宋_GB2312" w:eastAsia="仿宋_GB2312" w:cs="仿宋_GB2312"/>
          <w:color w:val="000000"/>
          <w:kern w:val="0"/>
          <w:sz w:val="32"/>
          <w:szCs w:val="32"/>
        </w:rPr>
        <w:t>万元，其中：财政拨款收入</w:t>
      </w:r>
      <w:r>
        <w:rPr>
          <w:rFonts w:hint="eastAsia" w:ascii="仿宋_GB2312" w:hAnsi="仿宋_GB2312" w:eastAsia="仿宋_GB2312" w:cs="仿宋_GB2312"/>
          <w:color w:val="000000"/>
          <w:kern w:val="0"/>
          <w:sz w:val="32"/>
          <w:szCs w:val="32"/>
          <w:lang w:val="en-US" w:eastAsia="zh-CN"/>
        </w:rPr>
        <w:t>413.63</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%；事业收入</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%；经营收入</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%；其他收入</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620" w:lineRule="exact"/>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spacing w:line="6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本年度支出合计</w:t>
      </w:r>
      <w:r>
        <w:rPr>
          <w:rFonts w:hint="eastAsia" w:ascii="仿宋_GB2312" w:hAnsi="仿宋_GB2312" w:eastAsia="仿宋_GB2312" w:cs="仿宋_GB2312"/>
          <w:color w:val="000000"/>
          <w:kern w:val="0"/>
          <w:sz w:val="32"/>
          <w:szCs w:val="32"/>
          <w:lang w:val="en-US" w:eastAsia="zh-CN"/>
        </w:rPr>
        <w:t>413.63</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233.63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56.48</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180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43.52</w:t>
      </w:r>
      <w:r>
        <w:rPr>
          <w:rFonts w:hint="eastAsia" w:ascii="仿宋_GB2312" w:hAnsi="仿宋" w:eastAsia="仿宋_GB2312"/>
          <w:sz w:val="32"/>
          <w:szCs w:val="32"/>
        </w:rPr>
        <w:t>%；经营支出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spacing w:line="620" w:lineRule="exact"/>
        <w:ind w:firstLine="420" w:firstLineChars="200"/>
        <w:jc w:val="left"/>
        <w:rPr>
          <w:rFonts w:hint="eastAsia" w:ascii="黑体" w:hAnsi="黑体" w:eastAsia="黑体"/>
          <w:color w:val="000000"/>
          <w:kern w:val="0"/>
          <w:sz w:val="32"/>
          <w:szCs w:val="32"/>
        </w:rPr>
      </w:pPr>
      <w:r>
        <w:drawing>
          <wp:anchor distT="0" distB="0" distL="0" distR="0" simplePos="0" relativeHeight="251660288" behindDoc="0" locked="0" layoutInCell="1" allowOverlap="1">
            <wp:simplePos x="0" y="0"/>
            <wp:positionH relativeFrom="column">
              <wp:posOffset>302260</wp:posOffset>
            </wp:positionH>
            <wp:positionV relativeFrom="paragraph">
              <wp:posOffset>101600</wp:posOffset>
            </wp:positionV>
            <wp:extent cx="4694555" cy="2881630"/>
            <wp:effectExtent l="4445" t="5080" r="6350" b="889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本年度财政拨款收入、支出总计均为</w:t>
      </w:r>
      <w:r>
        <w:rPr>
          <w:rFonts w:hint="eastAsia" w:ascii="仿宋_GB2312" w:hAnsi="仿宋_GB2312" w:eastAsia="仿宋_GB2312" w:cs="仿宋_GB2312"/>
          <w:color w:val="000000"/>
          <w:kern w:val="0"/>
          <w:sz w:val="32"/>
          <w:szCs w:val="32"/>
          <w:lang w:val="en-US" w:eastAsia="zh-CN"/>
        </w:rPr>
        <w:t>413.63</w:t>
      </w:r>
      <w:r>
        <w:rPr>
          <w:rFonts w:hint="eastAsia" w:ascii="仿宋_GB2312" w:hAnsi="仿宋_GB2312" w:eastAsia="仿宋_GB2312" w:cs="仿宋_GB2312"/>
          <w:sz w:val="32"/>
          <w:szCs w:val="32"/>
        </w:rPr>
        <w:t>万元，与上年相比收、支总计各增加</w:t>
      </w:r>
      <w:r>
        <w:rPr>
          <w:rFonts w:hint="eastAsia" w:ascii="仿宋_GB2312" w:hAnsi="仿宋_GB2312" w:eastAsia="仿宋_GB2312" w:cs="仿宋_GB2312"/>
          <w:sz w:val="32"/>
          <w:szCs w:val="32"/>
          <w:lang w:val="en-US" w:eastAsia="zh-CN"/>
        </w:rPr>
        <w:t>76.19</w:t>
      </w:r>
      <w:r>
        <w:rPr>
          <w:rFonts w:hint="eastAsia" w:ascii="仿宋_GB2312" w:hAnsi="仿宋_GB2312" w:eastAsia="仿宋_GB2312" w:cs="仿宋_GB2312"/>
          <w:sz w:val="32"/>
          <w:szCs w:val="32"/>
        </w:rPr>
        <w:t>万元，增长</w:t>
      </w:r>
      <w:r>
        <w:rPr>
          <w:rFonts w:hint="eastAsia" w:ascii="仿宋_GB2312" w:hAnsi="仿宋_GB2312" w:eastAsia="仿宋_GB2312" w:cs="仿宋_GB2312"/>
          <w:color w:val="000000"/>
          <w:kern w:val="0"/>
          <w:sz w:val="32"/>
          <w:szCs w:val="32"/>
          <w:lang w:val="en-US" w:eastAsia="zh-CN"/>
        </w:rPr>
        <w:t>10.93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kern w:val="0"/>
          <w:sz w:val="32"/>
          <w:szCs w:val="32"/>
        </w:rPr>
        <w:t>人员增加导致工资福利费用收支增加</w:t>
      </w:r>
      <w:r>
        <w:rPr>
          <w:rFonts w:hint="eastAsia" w:ascii="仿宋_GB2312" w:hAnsi="仿宋_GB2312" w:eastAsia="仿宋_GB2312" w:cs="仿宋_GB2312"/>
          <w:sz w:val="32"/>
          <w:szCs w:val="32"/>
        </w:rPr>
        <w:t>。</w:t>
      </w:r>
    </w:p>
    <w:p>
      <w:pPr>
        <w:spacing w:line="620" w:lineRule="exact"/>
        <w:ind w:firstLine="420" w:firstLineChars="200"/>
        <w:jc w:val="left"/>
        <w:rPr>
          <w:rFonts w:hint="eastAsia" w:ascii="黑体" w:hAnsi="黑体" w:eastAsia="黑体"/>
          <w:color w:val="000000"/>
          <w:kern w:val="0"/>
          <w:sz w:val="32"/>
          <w:szCs w:val="32"/>
        </w:rPr>
      </w:pPr>
      <w:r>
        <w:drawing>
          <wp:anchor distT="0" distB="0" distL="0" distR="0" simplePos="0" relativeHeight="251661312" behindDoc="0" locked="0" layoutInCell="1" allowOverlap="1">
            <wp:simplePos x="0" y="0"/>
            <wp:positionH relativeFrom="column">
              <wp:posOffset>183515</wp:posOffset>
            </wp:positionH>
            <wp:positionV relativeFrom="paragraph">
              <wp:posOffset>14605</wp:posOffset>
            </wp:positionV>
            <wp:extent cx="5033645" cy="2811780"/>
            <wp:effectExtent l="5080" t="4445" r="9525" b="22225"/>
            <wp:wrapNone/>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hint="eastAsia" w:ascii="黑体" w:hAnsi="黑体" w:eastAsia="黑体"/>
          <w:color w:val="000000"/>
          <w:kern w:val="0"/>
          <w:sz w:val="32"/>
          <w:szCs w:val="32"/>
        </w:rPr>
      </w:pP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本年度财政拨款支出预算</w:t>
      </w:r>
      <w:r>
        <w:rPr>
          <w:rFonts w:hint="eastAsia" w:ascii="仿宋_GB2312" w:hAnsi="仿宋_GB2312" w:eastAsia="仿宋_GB2312" w:cs="仿宋_GB2312"/>
          <w:color w:val="000000"/>
          <w:kern w:val="0"/>
          <w:sz w:val="32"/>
          <w:szCs w:val="32"/>
          <w:lang w:val="en-US" w:eastAsia="zh-CN"/>
        </w:rPr>
        <w:t>447.36</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lang w:val="en-US" w:eastAsia="zh-CN"/>
        </w:rPr>
        <w:t>413.63</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92.46</w:t>
      </w:r>
      <w:r>
        <w:rPr>
          <w:rFonts w:hint="eastAsia" w:ascii="仿宋_GB2312" w:hAnsi="仿宋_GB2312" w:eastAsia="仿宋_GB2312" w:cs="仿宋_GB2312"/>
          <w:color w:val="000000"/>
          <w:kern w:val="0"/>
          <w:sz w:val="32"/>
          <w:szCs w:val="32"/>
        </w:rPr>
        <w:t>%，占本年支出合计的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%。与上年相比，财政拨款支出增加</w:t>
      </w:r>
      <w:r>
        <w:rPr>
          <w:rFonts w:hint="eastAsia" w:ascii="仿宋_GB2312" w:hAnsi="仿宋_GB2312" w:eastAsia="仿宋_GB2312" w:cs="仿宋_GB2312"/>
          <w:sz w:val="32"/>
          <w:szCs w:val="32"/>
          <w:lang w:val="en-US" w:eastAsia="zh-CN"/>
        </w:rPr>
        <w:t>76.19</w:t>
      </w:r>
      <w:r>
        <w:rPr>
          <w:rFonts w:hint="eastAsia" w:ascii="仿宋_GB2312" w:hAnsi="仿宋_GB2312" w:eastAsia="仿宋_GB2312" w:cs="仿宋_GB2312"/>
          <w:color w:val="000000"/>
          <w:kern w:val="0"/>
          <w:sz w:val="32"/>
          <w:szCs w:val="32"/>
        </w:rPr>
        <w:t>万元，增长</w:t>
      </w:r>
      <w:r>
        <w:rPr>
          <w:rFonts w:hint="eastAsia" w:ascii="仿宋_GB2312" w:hAnsi="仿宋_GB2312" w:eastAsia="仿宋_GB2312" w:cs="仿宋_GB2312"/>
          <w:color w:val="000000"/>
          <w:kern w:val="0"/>
          <w:sz w:val="32"/>
          <w:szCs w:val="32"/>
          <w:lang w:val="en-US" w:eastAsia="zh-CN"/>
        </w:rPr>
        <w:t>10.93</w:t>
      </w:r>
      <w:r>
        <w:rPr>
          <w:rFonts w:hint="eastAsia" w:ascii="仿宋_GB2312" w:hAnsi="仿宋_GB2312" w:eastAsia="仿宋_GB2312" w:cs="仿宋_GB2312"/>
          <w:color w:val="000000"/>
          <w:kern w:val="0"/>
          <w:sz w:val="32"/>
          <w:szCs w:val="32"/>
        </w:rPr>
        <w:t>%，主要原因是人员增加导致工资福利费用收支增加。</w:t>
      </w:r>
    </w:p>
    <w:p>
      <w:pPr>
        <w:spacing w:line="620" w:lineRule="exact"/>
        <w:ind w:firstLine="420" w:firstLineChars="200"/>
        <w:jc w:val="left"/>
        <w:rPr>
          <w:rFonts w:hint="eastAsia" w:ascii="仿宋_GB2312" w:hAnsi="仿宋_GB2312" w:eastAsia="仿宋_GB2312" w:cs="仿宋_GB2312"/>
          <w:color w:val="000000"/>
          <w:kern w:val="0"/>
          <w:sz w:val="32"/>
          <w:szCs w:val="32"/>
        </w:rPr>
      </w:pPr>
      <w:r>
        <w:rPr>
          <w:kern w:val="0"/>
        </w:rPr>
        <w:drawing>
          <wp:anchor distT="0" distB="0" distL="0" distR="0" simplePos="0" relativeHeight="251662336" behindDoc="0" locked="0" layoutInCell="1" allowOverlap="1">
            <wp:simplePos x="0" y="0"/>
            <wp:positionH relativeFrom="column">
              <wp:posOffset>1270</wp:posOffset>
            </wp:positionH>
            <wp:positionV relativeFrom="paragraph">
              <wp:posOffset>40005</wp:posOffset>
            </wp:positionV>
            <wp:extent cx="5391150" cy="2762250"/>
            <wp:effectExtent l="4445" t="4445" r="1460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420" w:firstLineChars="200"/>
        <w:jc w:val="left"/>
        <w:rPr>
          <w:rFonts w:ascii="仿宋_GB2312" w:hAnsi="仿宋" w:eastAsia="仿宋_GB2312"/>
          <w:sz w:val="32"/>
          <w:szCs w:val="32"/>
        </w:rPr>
      </w:pPr>
      <w:r>
        <w:rPr>
          <w:kern w:val="0"/>
        </w:rPr>
        <w:drawing>
          <wp:anchor distT="0" distB="0" distL="0" distR="0" simplePos="0" relativeHeight="251663360" behindDoc="0" locked="0" layoutInCell="1" allowOverlap="1">
            <wp:simplePos x="0" y="0"/>
            <wp:positionH relativeFrom="column">
              <wp:posOffset>48895</wp:posOffset>
            </wp:positionH>
            <wp:positionV relativeFrom="paragraph">
              <wp:posOffset>752475</wp:posOffset>
            </wp:positionV>
            <wp:extent cx="5391150" cy="2781300"/>
            <wp:effectExtent l="4445" t="4445" r="14605" b="14605"/>
            <wp:wrapNone/>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ascii="仿宋_GB2312" w:hAnsi="仿宋" w:eastAsia="仿宋_GB2312"/>
          <w:sz w:val="32"/>
          <w:szCs w:val="32"/>
        </w:rPr>
        <w:t>本年度财政拨款支出合计</w:t>
      </w:r>
      <w:r>
        <w:rPr>
          <w:rFonts w:hint="eastAsia" w:ascii="仿宋_GB2312" w:hAnsi="仿宋" w:eastAsia="仿宋_GB2312"/>
          <w:sz w:val="32"/>
          <w:szCs w:val="32"/>
          <w:lang w:val="en-US" w:eastAsia="zh-CN"/>
        </w:rPr>
        <w:t>413.63</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233.63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56.48</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180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43.52</w:t>
      </w:r>
      <w:r>
        <w:rPr>
          <w:rFonts w:hint="eastAsia" w:ascii="仿宋_GB2312" w:hAnsi="仿宋" w:eastAsia="仿宋_GB2312"/>
          <w:sz w:val="32"/>
          <w:szCs w:val="32"/>
        </w:rPr>
        <w:t>%。</w:t>
      </w: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p>
    <w:p>
      <w:pPr>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按照政府功能分类科目，其中：</w:t>
      </w:r>
    </w:p>
    <w:p>
      <w:pPr>
        <w:spacing w:line="6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教育</w:t>
      </w:r>
      <w:r>
        <w:rPr>
          <w:rFonts w:hint="eastAsia" w:ascii="仿宋_GB2312" w:hAnsi="仿宋_GB2312" w:eastAsia="仿宋_GB2312" w:cs="仿宋_GB2312"/>
          <w:color w:val="000000"/>
          <w:kern w:val="0"/>
          <w:sz w:val="32"/>
          <w:szCs w:val="32"/>
        </w:rPr>
        <w:t>支出（类）</w:t>
      </w:r>
      <w:r>
        <w:rPr>
          <w:rFonts w:hint="eastAsia" w:ascii="仿宋_GB2312" w:hAnsi="仿宋_GB2312" w:eastAsia="仿宋_GB2312" w:cs="仿宋_GB2312"/>
          <w:color w:val="000000"/>
          <w:kern w:val="0"/>
          <w:sz w:val="32"/>
          <w:szCs w:val="32"/>
          <w:lang w:val="en-US" w:eastAsia="zh-CN"/>
        </w:rPr>
        <w:t>进修及培训</w:t>
      </w:r>
      <w:r>
        <w:rPr>
          <w:rFonts w:hint="eastAsia" w:ascii="仿宋_GB2312" w:hAnsi="仿宋_GB2312" w:eastAsia="仿宋_GB2312" w:cs="仿宋_GB2312"/>
          <w:color w:val="000000"/>
          <w:kern w:val="0"/>
          <w:sz w:val="32"/>
          <w:szCs w:val="32"/>
        </w:rPr>
        <w:t>（款）</w:t>
      </w:r>
      <w:r>
        <w:rPr>
          <w:rFonts w:hint="eastAsia" w:ascii="仿宋_GB2312" w:hAnsi="仿宋_GB2312" w:eastAsia="仿宋_GB2312" w:cs="仿宋_GB2312"/>
          <w:color w:val="000000"/>
          <w:kern w:val="0"/>
          <w:sz w:val="32"/>
          <w:szCs w:val="32"/>
          <w:lang w:val="en-US" w:eastAsia="zh-CN"/>
        </w:rPr>
        <w:t>培训指出</w:t>
      </w:r>
      <w:r>
        <w:rPr>
          <w:rFonts w:hint="eastAsia" w:ascii="仿宋_GB2312" w:hAnsi="仿宋_GB2312" w:eastAsia="仿宋_GB2312" w:cs="仿宋_GB2312"/>
          <w:color w:val="000000"/>
          <w:kern w:val="0"/>
          <w:sz w:val="32"/>
          <w:szCs w:val="32"/>
        </w:rPr>
        <w:t>（项）预算</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lang w:val="en-US" w:eastAsia="zh-CN"/>
        </w:rPr>
        <w:t>0.21</w:t>
      </w:r>
      <w:r>
        <w:rPr>
          <w:rFonts w:hint="eastAsia" w:ascii="仿宋_GB2312" w:hAnsi="仿宋_GB2312" w:eastAsia="仿宋_GB2312" w:cs="仿宋_GB2312"/>
          <w:color w:val="000000"/>
          <w:kern w:val="0"/>
          <w:sz w:val="32"/>
          <w:szCs w:val="32"/>
        </w:rPr>
        <w:t>万元。决算数</w:t>
      </w:r>
      <w:r>
        <w:rPr>
          <w:rFonts w:hint="eastAsia" w:ascii="仿宋_GB2312" w:hAnsi="仿宋_GB2312" w:eastAsia="仿宋_GB2312" w:cs="仿宋_GB2312"/>
          <w:color w:val="000000"/>
          <w:kern w:val="0"/>
          <w:sz w:val="32"/>
          <w:szCs w:val="32"/>
          <w:lang w:val="en-US" w:eastAsia="zh-CN"/>
        </w:rPr>
        <w:t>大</w:t>
      </w:r>
      <w:r>
        <w:rPr>
          <w:rFonts w:hint="eastAsia" w:ascii="仿宋_GB2312" w:hAnsi="仿宋_GB2312" w:eastAsia="仿宋_GB2312" w:cs="仿宋_GB2312"/>
          <w:color w:val="000000"/>
          <w:kern w:val="0"/>
          <w:sz w:val="32"/>
          <w:szCs w:val="32"/>
        </w:rPr>
        <w:t>于预算数的主要原因是</w:t>
      </w:r>
      <w:r>
        <w:rPr>
          <w:rFonts w:hint="eastAsia" w:ascii="仿宋_GB2312" w:hAnsi="仿宋_GB2312" w:eastAsia="仿宋_GB2312" w:cs="仿宋_GB2312"/>
          <w:color w:val="000000"/>
          <w:kern w:val="0"/>
          <w:sz w:val="32"/>
          <w:szCs w:val="32"/>
          <w:lang w:val="en-US" w:eastAsia="zh-CN"/>
        </w:rPr>
        <w:t>新增技术人员职业教育培训</w:t>
      </w:r>
      <w:r>
        <w:rPr>
          <w:rFonts w:hint="eastAsia" w:ascii="仿宋_GB2312" w:hAnsi="仿宋_GB2312" w:eastAsia="仿宋_GB2312" w:cs="仿宋_GB2312"/>
          <w:color w:val="000000"/>
          <w:kern w:val="0"/>
          <w:sz w:val="32"/>
          <w:szCs w:val="32"/>
        </w:rPr>
        <w:t>。</w:t>
      </w:r>
    </w:p>
    <w:p>
      <w:pPr>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highlight w:val="none"/>
        </w:rPr>
        <w:t>社会保障和就业支出（类）行政事业单位养老支出（款）机关事业单位基本养老保险缴费支出（项）。预算</w:t>
      </w:r>
      <w:r>
        <w:rPr>
          <w:rFonts w:hint="eastAsia" w:ascii="仿宋_GB2312" w:hAnsi="仿宋_GB2312" w:eastAsia="仿宋_GB2312" w:cs="仿宋_GB2312"/>
          <w:color w:val="000000"/>
          <w:kern w:val="0"/>
          <w:sz w:val="32"/>
          <w:szCs w:val="32"/>
          <w:highlight w:val="none"/>
          <w:lang w:val="en-US" w:eastAsia="zh-CN"/>
        </w:rPr>
        <w:t>26.57</w:t>
      </w:r>
      <w:r>
        <w:rPr>
          <w:rFonts w:hint="eastAsia" w:ascii="仿宋_GB2312" w:hAnsi="仿宋_GB2312" w:eastAsia="仿宋_GB2312" w:cs="仿宋_GB2312"/>
          <w:color w:val="000000"/>
          <w:kern w:val="0"/>
          <w:sz w:val="32"/>
          <w:szCs w:val="32"/>
          <w:highlight w:val="none"/>
        </w:rPr>
        <w:t>万元，支出决算</w:t>
      </w:r>
      <w:r>
        <w:rPr>
          <w:rFonts w:hint="eastAsia" w:ascii="仿宋_GB2312" w:hAnsi="仿宋_GB2312" w:eastAsia="仿宋_GB2312" w:cs="仿宋_GB2312"/>
          <w:color w:val="000000"/>
          <w:kern w:val="0"/>
          <w:sz w:val="32"/>
          <w:szCs w:val="32"/>
          <w:highlight w:val="none"/>
          <w:lang w:val="en-US" w:eastAsia="zh-CN"/>
        </w:rPr>
        <w:t>21.27</w:t>
      </w:r>
      <w:r>
        <w:rPr>
          <w:rFonts w:hint="eastAsia" w:ascii="仿宋_GB2312" w:hAnsi="仿宋_GB2312" w:eastAsia="仿宋_GB2312" w:cs="仿宋_GB2312"/>
          <w:color w:val="000000"/>
          <w:kern w:val="0"/>
          <w:sz w:val="32"/>
          <w:szCs w:val="32"/>
          <w:highlight w:val="none"/>
        </w:rPr>
        <w:t>万元，完成预算的</w:t>
      </w:r>
      <w:r>
        <w:rPr>
          <w:rFonts w:hint="eastAsia" w:ascii="仿宋_GB2312" w:hAnsi="仿宋_GB2312" w:eastAsia="仿宋_GB2312" w:cs="仿宋_GB2312"/>
          <w:color w:val="000000"/>
          <w:kern w:val="0"/>
          <w:sz w:val="32"/>
          <w:szCs w:val="32"/>
          <w:highlight w:val="none"/>
          <w:lang w:val="en-US" w:eastAsia="zh-CN"/>
        </w:rPr>
        <w:t>80.05</w:t>
      </w:r>
      <w:r>
        <w:rPr>
          <w:rFonts w:hint="eastAsia" w:ascii="仿宋_GB2312" w:hAnsi="仿宋_GB2312" w:eastAsia="仿宋_GB2312" w:cs="仿宋_GB2312"/>
          <w:color w:val="000000"/>
          <w:kern w:val="0"/>
          <w:sz w:val="32"/>
          <w:szCs w:val="32"/>
          <w:highlight w:val="none"/>
        </w:rPr>
        <w:t>%。决算数小于预算数的主要原因是</w:t>
      </w:r>
      <w:r>
        <w:rPr>
          <w:rFonts w:hint="eastAsia" w:ascii="仿宋" w:hAnsi="仿宋" w:eastAsia="仿宋" w:cs="仿宋"/>
          <w:sz w:val="32"/>
          <w:szCs w:val="40"/>
          <w:highlight w:val="none"/>
        </w:rPr>
        <w:t>人员变动影响</w:t>
      </w:r>
      <w:r>
        <w:rPr>
          <w:rFonts w:hint="eastAsia" w:ascii="仿宋_GB2312" w:hAnsi="仿宋_GB2312" w:eastAsia="仿宋_GB2312" w:cs="仿宋_GB2312"/>
          <w:color w:val="000000"/>
          <w:kern w:val="0"/>
          <w:sz w:val="32"/>
          <w:szCs w:val="32"/>
        </w:rPr>
        <w:t>。</w:t>
      </w:r>
    </w:p>
    <w:p>
      <w:pPr>
        <w:spacing w:line="620" w:lineRule="exact"/>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highlight w:val="none"/>
        </w:rPr>
        <w:t>社会保障和就业支出（类）行政事业单位养老支出（款）机关事业单位职业年金缴费支出（项）。预算</w:t>
      </w:r>
      <w:r>
        <w:rPr>
          <w:rFonts w:hint="eastAsia" w:ascii="仿宋_GB2312" w:hAnsi="仿宋_GB2312" w:eastAsia="仿宋_GB2312" w:cs="仿宋_GB2312"/>
          <w:color w:val="000000"/>
          <w:kern w:val="0"/>
          <w:sz w:val="32"/>
          <w:szCs w:val="32"/>
          <w:highlight w:val="none"/>
          <w:lang w:val="en-US" w:eastAsia="zh-CN"/>
        </w:rPr>
        <w:t>13.28</w:t>
      </w:r>
      <w:r>
        <w:rPr>
          <w:rFonts w:hint="eastAsia" w:ascii="仿宋_GB2312" w:hAnsi="仿宋_GB2312" w:eastAsia="仿宋_GB2312" w:cs="仿宋_GB2312"/>
          <w:color w:val="000000"/>
          <w:kern w:val="0"/>
          <w:sz w:val="32"/>
          <w:szCs w:val="32"/>
          <w:highlight w:val="none"/>
        </w:rPr>
        <w:t>万元，支出决算</w:t>
      </w:r>
      <w:r>
        <w:rPr>
          <w:rFonts w:hint="eastAsia" w:ascii="仿宋_GB2312" w:hAnsi="仿宋_GB2312" w:eastAsia="仿宋_GB2312" w:cs="仿宋_GB2312"/>
          <w:color w:val="000000"/>
          <w:kern w:val="0"/>
          <w:sz w:val="32"/>
          <w:szCs w:val="32"/>
          <w:highlight w:val="none"/>
          <w:lang w:val="en-US" w:eastAsia="zh-CN"/>
        </w:rPr>
        <w:t>10.85</w:t>
      </w:r>
      <w:r>
        <w:rPr>
          <w:rFonts w:hint="eastAsia" w:ascii="仿宋_GB2312" w:hAnsi="仿宋_GB2312" w:eastAsia="仿宋_GB2312" w:cs="仿宋_GB2312"/>
          <w:color w:val="000000"/>
          <w:kern w:val="0"/>
          <w:sz w:val="32"/>
          <w:szCs w:val="32"/>
          <w:highlight w:val="none"/>
        </w:rPr>
        <w:t>万元，完成预算的</w:t>
      </w:r>
      <w:r>
        <w:rPr>
          <w:rFonts w:hint="eastAsia" w:ascii="仿宋_GB2312" w:hAnsi="仿宋_GB2312" w:eastAsia="仿宋_GB2312" w:cs="仿宋_GB2312"/>
          <w:color w:val="000000"/>
          <w:kern w:val="0"/>
          <w:sz w:val="32"/>
          <w:szCs w:val="32"/>
          <w:highlight w:val="none"/>
          <w:lang w:val="en-US" w:eastAsia="zh-CN"/>
        </w:rPr>
        <w:t>81.7</w:t>
      </w:r>
      <w:r>
        <w:rPr>
          <w:rFonts w:hint="eastAsia" w:ascii="仿宋_GB2312" w:hAnsi="仿宋_GB2312" w:eastAsia="仿宋_GB2312" w:cs="仿宋_GB2312"/>
          <w:color w:val="000000"/>
          <w:kern w:val="0"/>
          <w:sz w:val="32"/>
          <w:szCs w:val="32"/>
          <w:highlight w:val="none"/>
        </w:rPr>
        <w:t>%。决算数小于预算数的主要原因是</w:t>
      </w:r>
      <w:r>
        <w:rPr>
          <w:rFonts w:hint="eastAsia" w:ascii="仿宋" w:hAnsi="仿宋" w:eastAsia="仿宋" w:cs="仿宋"/>
          <w:sz w:val="32"/>
          <w:szCs w:val="40"/>
          <w:highlight w:val="none"/>
        </w:rPr>
        <w:t>人员变动影响。</w:t>
      </w:r>
    </w:p>
    <w:p>
      <w:pPr>
        <w:spacing w:line="620" w:lineRule="exact"/>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社会保障和就业支出（类）其他社会保障和就业支出（款）其他社会保障和就业支出（项）。预算</w:t>
      </w:r>
      <w:r>
        <w:rPr>
          <w:rFonts w:hint="eastAsia" w:ascii="仿宋_GB2312" w:hAnsi="仿宋_GB2312" w:eastAsia="仿宋_GB2312" w:cs="仿宋_GB2312"/>
          <w:color w:val="000000"/>
          <w:kern w:val="0"/>
          <w:sz w:val="32"/>
          <w:szCs w:val="32"/>
          <w:highlight w:val="none"/>
          <w:lang w:val="en-US" w:eastAsia="zh-CN"/>
        </w:rPr>
        <w:t>0.18</w:t>
      </w:r>
      <w:r>
        <w:rPr>
          <w:rFonts w:hint="eastAsia" w:ascii="仿宋_GB2312" w:hAnsi="仿宋_GB2312" w:eastAsia="仿宋_GB2312" w:cs="仿宋_GB2312"/>
          <w:color w:val="000000"/>
          <w:kern w:val="0"/>
          <w:sz w:val="32"/>
          <w:szCs w:val="32"/>
          <w:highlight w:val="none"/>
        </w:rPr>
        <w:t>万元，支出决算</w:t>
      </w:r>
      <w:r>
        <w:rPr>
          <w:rFonts w:hint="eastAsia" w:ascii="仿宋_GB2312" w:hAnsi="仿宋_GB2312" w:eastAsia="仿宋_GB2312" w:cs="仿宋_GB2312"/>
          <w:color w:val="000000"/>
          <w:kern w:val="0"/>
          <w:sz w:val="32"/>
          <w:szCs w:val="32"/>
          <w:highlight w:val="none"/>
          <w:lang w:val="en-US" w:eastAsia="zh-CN"/>
        </w:rPr>
        <w:t>0.18</w:t>
      </w:r>
      <w:r>
        <w:rPr>
          <w:rFonts w:hint="eastAsia" w:ascii="仿宋_GB2312" w:hAnsi="仿宋_GB2312" w:eastAsia="仿宋_GB2312" w:cs="仿宋_GB2312"/>
          <w:color w:val="000000"/>
          <w:kern w:val="0"/>
          <w:sz w:val="32"/>
          <w:szCs w:val="32"/>
          <w:highlight w:val="none"/>
        </w:rPr>
        <w:t>万元，完成预算的</w:t>
      </w:r>
      <w:r>
        <w:rPr>
          <w:rFonts w:hint="eastAsia" w:ascii="仿宋_GB2312" w:hAnsi="仿宋_GB2312" w:eastAsia="仿宋_GB2312" w:cs="仿宋_GB2312"/>
          <w:color w:val="000000"/>
          <w:kern w:val="0"/>
          <w:sz w:val="32"/>
          <w:szCs w:val="32"/>
          <w:highlight w:val="none"/>
          <w:lang w:val="en-US" w:eastAsia="zh-CN"/>
        </w:rPr>
        <w:t>100</w:t>
      </w:r>
      <w:r>
        <w:rPr>
          <w:rFonts w:hint="eastAsia" w:ascii="仿宋_GB2312" w:hAnsi="仿宋_GB2312" w:eastAsia="仿宋_GB2312" w:cs="仿宋_GB2312"/>
          <w:color w:val="000000"/>
          <w:kern w:val="0"/>
          <w:sz w:val="32"/>
          <w:szCs w:val="32"/>
          <w:highlight w:val="none"/>
        </w:rPr>
        <w:t>%</w:t>
      </w:r>
      <w:r>
        <w:rPr>
          <w:rFonts w:hint="eastAsia" w:ascii="仿宋" w:hAnsi="仿宋" w:eastAsia="仿宋" w:cs="仿宋"/>
          <w:sz w:val="32"/>
          <w:szCs w:val="40"/>
          <w:highlight w:val="none"/>
        </w:rPr>
        <w:t>。</w:t>
      </w:r>
    </w:p>
    <w:p>
      <w:pPr>
        <w:spacing w:line="620" w:lineRule="exact"/>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卫生健康支出（类）行政事业单位医疗（款）事业单位医疗（项）。预算</w:t>
      </w:r>
      <w:r>
        <w:rPr>
          <w:rFonts w:hint="eastAsia" w:ascii="仿宋_GB2312" w:hAnsi="仿宋_GB2312" w:eastAsia="仿宋_GB2312" w:cs="仿宋_GB2312"/>
          <w:color w:val="000000"/>
          <w:kern w:val="0"/>
          <w:sz w:val="32"/>
          <w:szCs w:val="32"/>
          <w:highlight w:val="none"/>
          <w:lang w:val="en-US" w:eastAsia="zh-CN"/>
        </w:rPr>
        <w:t>10.3</w:t>
      </w:r>
      <w:r>
        <w:rPr>
          <w:rFonts w:hint="eastAsia" w:ascii="仿宋_GB2312" w:hAnsi="仿宋_GB2312" w:eastAsia="仿宋_GB2312" w:cs="仿宋_GB2312"/>
          <w:color w:val="000000"/>
          <w:kern w:val="0"/>
          <w:sz w:val="32"/>
          <w:szCs w:val="32"/>
          <w:highlight w:val="none"/>
        </w:rPr>
        <w:t>万元，支出决算</w:t>
      </w: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万元，完成预算的</w:t>
      </w:r>
      <w:r>
        <w:rPr>
          <w:rFonts w:hint="eastAsia" w:ascii="仿宋_GB2312" w:hAnsi="仿宋_GB2312" w:eastAsia="仿宋_GB2312" w:cs="仿宋_GB2312"/>
          <w:color w:val="000000"/>
          <w:kern w:val="0"/>
          <w:sz w:val="32"/>
          <w:szCs w:val="32"/>
          <w:highlight w:val="none"/>
          <w:lang w:val="en-US" w:eastAsia="zh-CN"/>
        </w:rPr>
        <w:t>97.09</w:t>
      </w:r>
      <w:r>
        <w:rPr>
          <w:rFonts w:hint="eastAsia" w:ascii="仿宋_GB2312" w:hAnsi="仿宋_GB2312" w:eastAsia="仿宋_GB2312" w:cs="仿宋_GB2312"/>
          <w:color w:val="000000"/>
          <w:kern w:val="0"/>
          <w:sz w:val="32"/>
          <w:szCs w:val="32"/>
          <w:highlight w:val="none"/>
        </w:rPr>
        <w:t>%。决算数小于预算数的主要原因是</w:t>
      </w:r>
      <w:r>
        <w:rPr>
          <w:rFonts w:hint="eastAsia" w:ascii="仿宋" w:hAnsi="仿宋" w:eastAsia="仿宋" w:cs="仿宋"/>
          <w:sz w:val="32"/>
          <w:szCs w:val="40"/>
          <w:highlight w:val="none"/>
        </w:rPr>
        <w:t>人员变动影响。</w:t>
      </w:r>
    </w:p>
    <w:p>
      <w:pPr>
        <w:spacing w:line="620" w:lineRule="exact"/>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城乡社区支出（类）其他城乡社区支出（款）其他城乡社区支出（项）。预算</w:t>
      </w:r>
      <w:r>
        <w:rPr>
          <w:rFonts w:hint="eastAsia" w:ascii="仿宋_GB2312" w:hAnsi="仿宋_GB2312" w:eastAsia="仿宋_GB2312" w:cs="仿宋_GB2312"/>
          <w:color w:val="000000"/>
          <w:kern w:val="0"/>
          <w:sz w:val="32"/>
          <w:szCs w:val="32"/>
          <w:highlight w:val="none"/>
          <w:lang w:val="en-US" w:eastAsia="zh-CN"/>
        </w:rPr>
        <w:t>372.81</w:t>
      </w:r>
      <w:r>
        <w:rPr>
          <w:rFonts w:hint="eastAsia" w:ascii="仿宋_GB2312" w:hAnsi="仿宋_GB2312" w:eastAsia="仿宋_GB2312" w:cs="仿宋_GB2312"/>
          <w:color w:val="000000"/>
          <w:kern w:val="0"/>
          <w:sz w:val="32"/>
          <w:szCs w:val="32"/>
          <w:highlight w:val="none"/>
        </w:rPr>
        <w:t>万元，支出决算</w:t>
      </w:r>
      <w:r>
        <w:rPr>
          <w:rFonts w:hint="eastAsia" w:ascii="仿宋_GB2312" w:hAnsi="仿宋_GB2312" w:eastAsia="仿宋_GB2312" w:cs="仿宋_GB2312"/>
          <w:color w:val="000000"/>
          <w:kern w:val="0"/>
          <w:sz w:val="32"/>
          <w:szCs w:val="32"/>
          <w:highlight w:val="none"/>
          <w:lang w:val="en-US" w:eastAsia="zh-CN"/>
        </w:rPr>
        <w:t>352.41</w:t>
      </w:r>
      <w:r>
        <w:rPr>
          <w:rFonts w:hint="eastAsia" w:ascii="仿宋_GB2312" w:hAnsi="仿宋_GB2312" w:eastAsia="仿宋_GB2312" w:cs="仿宋_GB2312"/>
          <w:color w:val="000000"/>
          <w:kern w:val="0"/>
          <w:sz w:val="32"/>
          <w:szCs w:val="32"/>
          <w:highlight w:val="none"/>
        </w:rPr>
        <w:t>万元，完成预算的</w:t>
      </w:r>
      <w:r>
        <w:rPr>
          <w:rFonts w:hint="eastAsia" w:ascii="仿宋_GB2312" w:hAnsi="仿宋_GB2312" w:eastAsia="仿宋_GB2312" w:cs="仿宋_GB2312"/>
          <w:color w:val="000000"/>
          <w:kern w:val="0"/>
          <w:sz w:val="32"/>
          <w:szCs w:val="32"/>
          <w:highlight w:val="none"/>
          <w:lang w:val="en-US" w:eastAsia="zh-CN"/>
        </w:rPr>
        <w:t>94.53</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决算数小于预算数的主要原因是</w:t>
      </w:r>
      <w:r>
        <w:rPr>
          <w:rFonts w:hint="eastAsia" w:ascii="仿宋_GB2312" w:hAnsi="仿宋_GB2312" w:eastAsia="仿宋_GB2312" w:cs="仿宋_GB2312"/>
          <w:color w:val="000000"/>
          <w:kern w:val="0"/>
          <w:sz w:val="32"/>
          <w:szCs w:val="32"/>
          <w:highlight w:val="none"/>
          <w:lang w:val="en-US" w:eastAsia="zh-CN"/>
        </w:rPr>
        <w:t>因</w:t>
      </w:r>
      <w:r>
        <w:rPr>
          <w:rFonts w:hint="eastAsia" w:ascii="仿宋" w:hAnsi="仿宋" w:eastAsia="仿宋" w:cs="仿宋"/>
          <w:sz w:val="32"/>
          <w:szCs w:val="40"/>
        </w:rPr>
        <w:t>新冠</w:t>
      </w:r>
      <w:r>
        <w:rPr>
          <w:rFonts w:hint="eastAsia" w:ascii="仿宋_GB2312" w:hAnsi="仿宋_GB2312" w:eastAsia="仿宋_GB2312" w:cs="仿宋_GB2312"/>
          <w:color w:val="000000"/>
          <w:kern w:val="0"/>
          <w:sz w:val="32"/>
          <w:szCs w:val="32"/>
          <w:highlight w:val="none"/>
          <w:lang w:val="en-US" w:eastAsia="zh-CN"/>
        </w:rPr>
        <w:t>疫情影响造成部分业务开展受限</w:t>
      </w:r>
      <w:r>
        <w:rPr>
          <w:rFonts w:hint="eastAsia" w:ascii="仿宋" w:hAnsi="仿宋" w:eastAsia="仿宋" w:cs="仿宋"/>
          <w:sz w:val="32"/>
          <w:szCs w:val="40"/>
          <w:highlight w:val="none"/>
        </w:rPr>
        <w:t>。</w:t>
      </w:r>
    </w:p>
    <w:p>
      <w:pPr>
        <w:spacing w:line="620" w:lineRule="exact"/>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7.住房保障支出（类）住房改革支出（款）住房公积金（项）。预算</w:t>
      </w:r>
      <w:r>
        <w:rPr>
          <w:rFonts w:hint="eastAsia" w:ascii="仿宋_GB2312" w:hAnsi="仿宋_GB2312" w:eastAsia="仿宋_GB2312" w:cs="仿宋_GB2312"/>
          <w:color w:val="000000"/>
          <w:kern w:val="0"/>
          <w:sz w:val="32"/>
          <w:szCs w:val="32"/>
          <w:highlight w:val="none"/>
          <w:lang w:val="en-US" w:eastAsia="zh-CN"/>
        </w:rPr>
        <w:t>24.22</w:t>
      </w:r>
      <w:r>
        <w:rPr>
          <w:rFonts w:hint="eastAsia" w:ascii="仿宋_GB2312" w:hAnsi="仿宋_GB2312" w:eastAsia="仿宋_GB2312" w:cs="仿宋_GB2312"/>
          <w:color w:val="000000"/>
          <w:kern w:val="0"/>
          <w:sz w:val="32"/>
          <w:szCs w:val="32"/>
          <w:highlight w:val="none"/>
        </w:rPr>
        <w:t>万元，支出决算</w:t>
      </w:r>
      <w:r>
        <w:rPr>
          <w:rFonts w:hint="eastAsia" w:ascii="仿宋_GB2312" w:hAnsi="仿宋_GB2312" w:eastAsia="仿宋_GB2312" w:cs="仿宋_GB2312"/>
          <w:color w:val="000000"/>
          <w:kern w:val="0"/>
          <w:sz w:val="32"/>
          <w:szCs w:val="32"/>
          <w:highlight w:val="none"/>
          <w:lang w:val="en-US" w:eastAsia="zh-CN"/>
        </w:rPr>
        <w:t>18.72</w:t>
      </w:r>
      <w:r>
        <w:rPr>
          <w:rFonts w:hint="eastAsia" w:ascii="仿宋_GB2312" w:hAnsi="仿宋_GB2312" w:eastAsia="仿宋_GB2312" w:cs="仿宋_GB2312"/>
          <w:color w:val="000000"/>
          <w:kern w:val="0"/>
          <w:sz w:val="32"/>
          <w:szCs w:val="32"/>
          <w:highlight w:val="none"/>
        </w:rPr>
        <w:t>万元，完成预算的</w:t>
      </w:r>
      <w:r>
        <w:rPr>
          <w:rFonts w:hint="eastAsia" w:ascii="仿宋_GB2312" w:hAnsi="仿宋_GB2312" w:eastAsia="仿宋_GB2312" w:cs="仿宋_GB2312"/>
          <w:color w:val="000000"/>
          <w:kern w:val="0"/>
          <w:sz w:val="32"/>
          <w:szCs w:val="32"/>
          <w:highlight w:val="none"/>
          <w:lang w:val="en-US" w:eastAsia="zh-CN"/>
        </w:rPr>
        <w:t>77.29</w:t>
      </w:r>
      <w:r>
        <w:rPr>
          <w:rFonts w:hint="eastAsia" w:ascii="仿宋_GB2312" w:hAnsi="仿宋_GB2312" w:eastAsia="仿宋_GB2312" w:cs="仿宋_GB2312"/>
          <w:color w:val="000000"/>
          <w:kern w:val="0"/>
          <w:sz w:val="32"/>
          <w:szCs w:val="32"/>
          <w:highlight w:val="none"/>
        </w:rPr>
        <w:t>%。决算数小于预算数的主要原因是</w:t>
      </w:r>
      <w:r>
        <w:rPr>
          <w:rFonts w:hint="eastAsia" w:ascii="仿宋" w:hAnsi="仿宋" w:eastAsia="仿宋" w:cs="仿宋"/>
          <w:sz w:val="32"/>
          <w:szCs w:val="40"/>
          <w:highlight w:val="none"/>
        </w:rPr>
        <w:t>人员变动影响。</w:t>
      </w:r>
    </w:p>
    <w:p>
      <w:pPr>
        <w:spacing w:line="620" w:lineRule="exact"/>
        <w:ind w:firstLine="640" w:firstLineChars="200"/>
        <w:rPr>
          <w:rFonts w:ascii="仿宋_GB2312" w:hAnsi="宋体" w:eastAsia="仿宋_GB2312" w:cs="仿宋_GB2312"/>
          <w:color w:val="000000"/>
          <w:kern w:val="0"/>
          <w:sz w:val="32"/>
          <w:szCs w:val="32"/>
        </w:rPr>
      </w:pPr>
      <w:r>
        <w:rPr>
          <w:rFonts w:hint="eastAsia" w:ascii="黑体" w:hAnsi="黑体" w:eastAsia="黑体"/>
          <w:color w:val="000000"/>
          <w:kern w:val="0"/>
          <w:sz w:val="32"/>
          <w:szCs w:val="32"/>
        </w:rPr>
        <w:t xml:space="preserve">六、一般公共预算财政拨款基本支出决算情况说明 </w:t>
      </w:r>
    </w:p>
    <w:p>
      <w:pPr>
        <w:spacing w:line="62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w:t>
      </w:r>
      <w:r>
        <w:rPr>
          <w:rFonts w:ascii="仿宋_GB2312" w:hAnsi="宋体" w:eastAsia="仿宋_GB2312" w:cs="仿宋_GB2312"/>
          <w:color w:val="000000"/>
          <w:kern w:val="0"/>
          <w:sz w:val="32"/>
          <w:szCs w:val="32"/>
        </w:rPr>
        <w:t>一般公共预算财政拨款基本支出</w:t>
      </w:r>
      <w:r>
        <w:rPr>
          <w:rFonts w:hint="eastAsia" w:ascii="仿宋_GB2312" w:hAnsi="宋体" w:eastAsia="仿宋_GB2312" w:cs="仿宋_GB2312"/>
          <w:color w:val="000000"/>
          <w:kern w:val="0"/>
          <w:sz w:val="32"/>
          <w:szCs w:val="32"/>
          <w:lang w:val="en-US" w:eastAsia="zh-CN"/>
        </w:rPr>
        <w:t>233.63</w:t>
      </w:r>
      <w:r>
        <w:rPr>
          <w:rFonts w:ascii="仿宋_GB2312" w:hAnsi="宋体" w:eastAsia="仿宋_GB2312" w:cs="仿宋_GB2312"/>
          <w:color w:val="000000"/>
          <w:kern w:val="0"/>
          <w:sz w:val="32"/>
          <w:szCs w:val="32"/>
        </w:rPr>
        <w:t>万元，包括人员经费和公用经费。</w:t>
      </w:r>
      <w:r>
        <w:rPr>
          <w:rFonts w:hint="eastAsia" w:ascii="仿宋_GB2312" w:hAnsi="宋体" w:eastAsia="仿宋_GB2312" w:cs="仿宋_GB2312"/>
          <w:color w:val="000000"/>
          <w:kern w:val="0"/>
          <w:sz w:val="32"/>
          <w:szCs w:val="32"/>
        </w:rPr>
        <w:t>其中：</w:t>
      </w:r>
    </w:p>
    <w:p>
      <w:pPr>
        <w:spacing w:line="620" w:lineRule="exact"/>
        <w:jc w:val="left"/>
        <w:rPr>
          <w:rFonts w:hint="eastAsia" w:ascii="仿宋_GB2312" w:hAnsi="仿宋_GB2312" w:eastAsia="仿宋_GB2312" w:cs="仿宋_GB2312"/>
          <w:color w:val="000000"/>
          <w:kern w:val="0"/>
          <w:sz w:val="32"/>
          <w:szCs w:val="32"/>
        </w:rPr>
      </w:pPr>
      <w:r>
        <w:rPr>
          <w:rFonts w:hint="eastAsia" w:ascii="仿宋_GB2312" w:hAnsi="宋体" w:eastAsia="仿宋_GB2312" w:cs="仿宋_GB2312"/>
          <w:b/>
          <w:bCs/>
          <w:color w:val="000000"/>
          <w:kern w:val="0"/>
          <w:sz w:val="32"/>
          <w:szCs w:val="32"/>
        </w:rPr>
        <w:t xml:space="preserve">    </w:t>
      </w:r>
      <w:r>
        <w:rPr>
          <w:rFonts w:hint="eastAsia" w:ascii="楷体" w:hAnsi="楷体" w:eastAsia="楷体" w:cs="楷体"/>
          <w:color w:val="000000"/>
          <w:kern w:val="0"/>
          <w:sz w:val="32"/>
          <w:szCs w:val="32"/>
        </w:rPr>
        <w:t>（一）人员经费</w:t>
      </w:r>
      <w:r>
        <w:rPr>
          <w:rFonts w:hint="eastAsia" w:ascii="仿宋_GB2312" w:hAnsi="宋体" w:eastAsia="仿宋_GB2312" w:cs="仿宋_GB2312"/>
          <w:color w:val="000000"/>
          <w:kern w:val="0"/>
          <w:sz w:val="32"/>
          <w:szCs w:val="32"/>
          <w:lang w:val="en-US" w:eastAsia="zh-CN"/>
        </w:rPr>
        <w:t>223.3</w:t>
      </w:r>
      <w:r>
        <w:rPr>
          <w:rFonts w:ascii="仿宋_GB2312" w:hAnsi="宋体"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主要包括：</w:t>
      </w:r>
      <w:r>
        <w:rPr>
          <w:rFonts w:hint="eastAsia" w:ascii="仿宋_GB2312" w:hAnsi="仿宋_GB2312" w:eastAsia="仿宋_GB2312" w:cs="仿宋_GB2312"/>
          <w:sz w:val="32"/>
          <w:szCs w:val="32"/>
        </w:rPr>
        <w:t>基本工资、津贴补贴、</w:t>
      </w:r>
      <w:r>
        <w:rPr>
          <w:rFonts w:hint="eastAsia" w:ascii="仿宋" w:hAnsi="仿宋" w:eastAsia="仿宋" w:cs="仿宋"/>
          <w:sz w:val="32"/>
          <w:szCs w:val="40"/>
          <w:lang w:val="en-US" w:eastAsia="zh-CN"/>
        </w:rPr>
        <w:t>绩</w:t>
      </w:r>
      <w:r>
        <w:rPr>
          <w:rFonts w:hint="eastAsia" w:ascii="仿宋_GB2312" w:hAnsi="仿宋_GB2312" w:eastAsia="仿宋_GB2312" w:cs="仿宋_GB2312"/>
          <w:color w:val="000000"/>
          <w:kern w:val="0"/>
          <w:sz w:val="32"/>
          <w:szCs w:val="32"/>
          <w:lang w:val="en-US" w:eastAsia="zh-CN"/>
        </w:rPr>
        <w:t>效工资、</w:t>
      </w:r>
      <w:r>
        <w:rPr>
          <w:rFonts w:hint="eastAsia" w:ascii="仿宋_GB2312" w:hAnsi="仿宋_GB2312" w:eastAsia="仿宋_GB2312" w:cs="仿宋_GB2312"/>
          <w:color w:val="000000"/>
          <w:kern w:val="0"/>
          <w:sz w:val="32"/>
          <w:szCs w:val="32"/>
        </w:rPr>
        <w:t>机关事业单位基本养老保险缴费</w:t>
      </w:r>
      <w:r>
        <w:rPr>
          <w:rFonts w:hint="eastAsia" w:ascii="仿宋_GB2312" w:hAnsi="仿宋_GB2312" w:eastAsia="仿宋_GB2312" w:cs="仿宋_GB2312"/>
          <w:color w:val="000000"/>
          <w:kern w:val="0"/>
          <w:sz w:val="32"/>
          <w:szCs w:val="32"/>
          <w:lang w:val="en-US" w:eastAsia="zh-CN"/>
        </w:rPr>
        <w:t>、职业年金、</w:t>
      </w:r>
      <w:r>
        <w:rPr>
          <w:rFonts w:hint="eastAsia" w:ascii="仿宋_GB2312" w:hAnsi="仿宋_GB2312" w:eastAsia="仿宋_GB2312" w:cs="仿宋_GB2312"/>
          <w:color w:val="000000"/>
          <w:kern w:val="0"/>
          <w:sz w:val="32"/>
          <w:szCs w:val="32"/>
        </w:rPr>
        <w:t>职工基本医疗保险缴费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其他社会保障缴费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住房公积金。</w:t>
      </w:r>
    </w:p>
    <w:p>
      <w:pPr>
        <w:spacing w:line="620" w:lineRule="exact"/>
        <w:ind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（二）公用经费</w:t>
      </w:r>
      <w:r>
        <w:rPr>
          <w:rFonts w:hint="eastAsia" w:ascii="仿宋_GB2312" w:hAnsi="宋体" w:eastAsia="仿宋_GB2312" w:cs="仿宋_GB2312"/>
          <w:color w:val="000000"/>
          <w:kern w:val="0"/>
          <w:sz w:val="32"/>
          <w:szCs w:val="32"/>
          <w:lang w:val="en-US" w:eastAsia="zh-CN"/>
        </w:rPr>
        <w:t>10.34</w:t>
      </w:r>
      <w:r>
        <w:rPr>
          <w:rFonts w:ascii="仿宋_GB2312" w:hAnsi="宋体"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主要包括：</w:t>
      </w:r>
      <w:r>
        <w:rPr>
          <w:rFonts w:hint="eastAsia" w:ascii="仿宋_GB2312" w:hAnsi="仿宋_GB2312" w:eastAsia="仿宋_GB2312" w:cs="仿宋_GB2312"/>
          <w:sz w:val="32"/>
          <w:szCs w:val="32"/>
        </w:rPr>
        <w:t>办</w:t>
      </w:r>
      <w:r>
        <w:rPr>
          <w:rFonts w:hint="eastAsia" w:ascii="仿宋_GB2312" w:hAnsi="仿宋_GB2312" w:eastAsia="仿宋_GB2312" w:cs="仿宋_GB2312"/>
          <w:color w:val="000000"/>
          <w:kern w:val="0"/>
          <w:sz w:val="32"/>
          <w:szCs w:val="32"/>
        </w:rPr>
        <w:t>公费、印刷费、咨询费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邮电费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差旅费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工会经费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其他交通费用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办公设备购置。</w:t>
      </w:r>
    </w:p>
    <w:p>
      <w:pPr>
        <w:spacing w:line="62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spacing w:line="620" w:lineRule="exact"/>
        <w:ind w:firstLine="640" w:firstLineChars="200"/>
        <w:jc w:val="left"/>
      </w:pPr>
      <w:r>
        <w:rPr>
          <w:rFonts w:hint="eastAsia" w:ascii="楷体" w:hAnsi="楷体" w:eastAsia="楷体" w:cs="楷体"/>
          <w:bCs/>
          <w:color w:val="000000"/>
          <w:kern w:val="0"/>
          <w:sz w:val="32"/>
          <w:szCs w:val="32"/>
        </w:rPr>
        <w:t>（一）“三公”经费财政拨款支出决算情况说明。</w:t>
      </w:r>
      <w:r>
        <w:rPr>
          <w:rFonts w:ascii="楷体_GB2312" w:hAnsi="宋体" w:eastAsia="楷体_GB2312" w:cs="楷体_GB2312"/>
          <w:b/>
          <w:color w:val="000000"/>
          <w:kern w:val="0"/>
          <w:sz w:val="32"/>
          <w:szCs w:val="32"/>
        </w:rPr>
        <w:t xml:space="preserve"> </w:t>
      </w:r>
    </w:p>
    <w:p>
      <w:pPr>
        <w:spacing w:line="6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本年度一般公共预算安排“三公”经费支出预算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万元，支出决算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万元，完成预算的</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spacing w:line="620" w:lineRule="exact"/>
        <w:rPr>
          <w:rFonts w:ascii="楷体" w:hAnsi="楷体" w:eastAsia="楷体" w:cs="楷体"/>
          <w:sz w:val="32"/>
          <w:szCs w:val="32"/>
        </w:rPr>
      </w:pPr>
      <w:r>
        <w:rPr>
          <w:rFonts w:hint="eastAsia" w:ascii="楷体" w:hAnsi="楷体" w:eastAsia="楷体" w:cs="楷体"/>
          <w:sz w:val="32"/>
          <w:szCs w:val="32"/>
        </w:rPr>
        <w:t xml:space="preserve">   </w:t>
      </w:r>
      <w:r>
        <w:rPr>
          <w:rFonts w:hint="eastAsia" w:ascii="仿宋_GB2312" w:hAnsi="宋体" w:eastAsia="仿宋_GB2312" w:cs="仿宋_GB2312"/>
          <w:color w:val="000000"/>
          <w:kern w:val="0"/>
          <w:sz w:val="32"/>
          <w:szCs w:val="32"/>
        </w:rPr>
        <w:t xml:space="preserve"> 1.因公出国（境）支出情况说明。</w:t>
      </w:r>
    </w:p>
    <w:p>
      <w:pPr>
        <w:spacing w:line="620" w:lineRule="exact"/>
        <w:ind w:firstLine="640" w:firstLineChars="200"/>
        <w:jc w:val="left"/>
        <w:rPr>
          <w:rFonts w:ascii="仿宋_GB2312" w:hAnsi="仿宋" w:eastAsia="仿宋_GB2312"/>
          <w:sz w:val="32"/>
          <w:szCs w:val="32"/>
        </w:rPr>
      </w:pPr>
      <w:r>
        <w:rPr>
          <w:rFonts w:hint="eastAsia" w:ascii="仿宋_GB2312" w:hAnsi="宋体" w:eastAsia="仿宋_GB2312" w:cs="仿宋_GB2312"/>
          <w:color w:val="000000"/>
          <w:kern w:val="0"/>
          <w:sz w:val="32"/>
          <w:szCs w:val="32"/>
        </w:rPr>
        <w:t>本年度无一般公共预算因公出国（境）预算安排。</w:t>
      </w:r>
    </w:p>
    <w:p>
      <w:pPr>
        <w:spacing w:line="62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2.公务用车购置费用支出情况说明。</w:t>
      </w:r>
    </w:p>
    <w:p>
      <w:pPr>
        <w:spacing w:line="62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本年度无一般公共预算公务用车购置费预算安排。</w:t>
      </w:r>
    </w:p>
    <w:p>
      <w:pPr>
        <w:spacing w:line="62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3.公务用车运行维护费用支出情况说明。</w:t>
      </w:r>
    </w:p>
    <w:p>
      <w:pPr>
        <w:spacing w:line="62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本年度无一般公共预算公务用车运行维护费预算安排。</w:t>
      </w:r>
    </w:p>
    <w:p>
      <w:pPr>
        <w:spacing w:line="62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4.公务接待费支出情况说明。</w:t>
      </w:r>
    </w:p>
    <w:p>
      <w:pPr>
        <w:spacing w:line="62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本年度无一般公共预算公务接待费预算安排。</w:t>
      </w:r>
    </w:p>
    <w:p>
      <w:pPr>
        <w:spacing w:line="620" w:lineRule="exact"/>
        <w:ind w:firstLine="640" w:firstLineChars="200"/>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（二）培训费支出情况说明。</w:t>
      </w:r>
    </w:p>
    <w:p>
      <w:pPr>
        <w:spacing w:line="6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宋体" w:eastAsia="仿宋_GB2312" w:cs="仿宋_GB2312"/>
          <w:color w:val="000000"/>
          <w:kern w:val="0"/>
          <w:sz w:val="32"/>
          <w:szCs w:val="32"/>
        </w:rPr>
        <w:t>本年度一般公共预算安排培训费预算</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1.41</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b w:val="0"/>
          <w:bCs w:val="0"/>
          <w:color w:val="auto"/>
          <w:kern w:val="0"/>
          <w:sz w:val="32"/>
          <w:szCs w:val="32"/>
        </w:rPr>
        <w:t>完成预算的</w:t>
      </w:r>
      <w:r>
        <w:rPr>
          <w:rFonts w:hint="eastAsia" w:ascii="仿宋_GB2312" w:hAnsi="宋体" w:eastAsia="仿宋_GB2312" w:cs="仿宋_GB2312"/>
          <w:b w:val="0"/>
          <w:bCs w:val="0"/>
          <w:color w:val="auto"/>
          <w:kern w:val="0"/>
          <w:sz w:val="32"/>
          <w:szCs w:val="32"/>
          <w:lang w:val="en-US" w:eastAsia="zh-CN"/>
        </w:rPr>
        <w:t>70.5</w:t>
      </w:r>
      <w:r>
        <w:rPr>
          <w:rFonts w:hint="eastAsia" w:ascii="仿宋_GB2312" w:hAnsi="宋体" w:eastAsia="仿宋_GB2312" w:cs="仿宋_GB2312"/>
          <w:b w:val="0"/>
          <w:bCs w:val="0"/>
          <w:color w:val="auto"/>
          <w:kern w:val="0"/>
          <w:sz w:val="32"/>
          <w:szCs w:val="32"/>
        </w:rPr>
        <w:t>%，决算数较预算数</w:t>
      </w:r>
      <w:r>
        <w:rPr>
          <w:rFonts w:hint="eastAsia" w:ascii="仿宋_GB2312" w:hAnsi="宋体" w:eastAsia="仿宋_GB2312" w:cs="仿宋_GB2312"/>
          <w:b w:val="0"/>
          <w:bCs w:val="0"/>
          <w:color w:val="auto"/>
          <w:kern w:val="0"/>
          <w:sz w:val="32"/>
          <w:szCs w:val="32"/>
          <w:lang w:val="en-US" w:eastAsia="zh-CN"/>
        </w:rPr>
        <w:t>减少0.59</w:t>
      </w:r>
      <w:r>
        <w:rPr>
          <w:rFonts w:hint="eastAsia" w:ascii="仿宋_GB2312" w:hAnsi="宋体" w:eastAsia="仿宋_GB2312" w:cs="仿宋_GB2312"/>
          <w:b w:val="0"/>
          <w:bCs w:val="0"/>
          <w:color w:val="auto"/>
          <w:kern w:val="0"/>
          <w:sz w:val="32"/>
          <w:szCs w:val="32"/>
        </w:rPr>
        <w:t>万元，主要原因是</w:t>
      </w:r>
      <w:r>
        <w:rPr>
          <w:rFonts w:hint="eastAsia" w:ascii="仿宋" w:hAnsi="仿宋" w:eastAsia="仿宋" w:cs="仿宋"/>
          <w:sz w:val="32"/>
          <w:szCs w:val="40"/>
        </w:rPr>
        <w:t>新冠</w:t>
      </w:r>
      <w:r>
        <w:rPr>
          <w:rFonts w:hint="eastAsia" w:ascii="仿宋_GB2312" w:hAnsi="宋体" w:eastAsia="仿宋_GB2312" w:cs="仿宋_GB2312"/>
          <w:b w:val="0"/>
          <w:bCs w:val="0"/>
          <w:color w:val="auto"/>
          <w:kern w:val="0"/>
          <w:sz w:val="32"/>
          <w:szCs w:val="32"/>
          <w:lang w:val="en-US" w:eastAsia="zh-CN"/>
        </w:rPr>
        <w:t>疫情影响减少外出培训</w:t>
      </w:r>
      <w:r>
        <w:rPr>
          <w:rFonts w:hint="eastAsia" w:ascii="仿宋_GB2312" w:hAnsi="仿宋_GB2312" w:eastAsia="仿宋_GB2312" w:cs="仿宋_GB2312"/>
          <w:b w:val="0"/>
          <w:bCs w:val="0"/>
          <w:color w:val="auto"/>
          <w:kern w:val="0"/>
          <w:sz w:val="32"/>
          <w:szCs w:val="32"/>
        </w:rPr>
        <w:t>。</w:t>
      </w:r>
    </w:p>
    <w:p>
      <w:pPr>
        <w:spacing w:line="620" w:lineRule="exact"/>
        <w:ind w:firstLine="640" w:firstLineChars="200"/>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（三）会议费支出情况说明。</w:t>
      </w:r>
    </w:p>
    <w:p>
      <w:pPr>
        <w:spacing w:line="62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本年度无一般公共预算会议费预算安排。</w:t>
      </w:r>
    </w:p>
    <w:p>
      <w:pPr>
        <w:numPr>
          <w:ilvl w:val="0"/>
          <w:numId w:val="2"/>
        </w:numPr>
        <w:spacing w:line="62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政府性基金预算财政拨款收入支出情况说明 </w:t>
      </w:r>
    </w:p>
    <w:p>
      <w:pPr>
        <w:spacing w:line="620" w:lineRule="exact"/>
        <w:ind w:firstLine="640" w:firstLineChars="200"/>
        <w:jc w:val="left"/>
        <w:rPr>
          <w:rFonts w:ascii="仿宋_GB2312" w:hAnsi="仿宋_GB2312" w:eastAsia="仿宋"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无政府性基金预算财政拨款，并已公开空表。</w:t>
      </w: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九、国有资本经营预算财政拨款支出决算情况说明</w:t>
      </w:r>
    </w:p>
    <w:p>
      <w:pPr>
        <w:spacing w:line="620" w:lineRule="exact"/>
        <w:ind w:firstLine="640" w:firstLineChars="200"/>
        <w:jc w:val="left"/>
        <w:rPr>
          <w:rFonts w:ascii="仿宋_GB2312" w:hAnsi="仿宋_GB2312" w:eastAsia="仿宋"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无国有资本经营预算财政拨款，并已公开空表。</w:t>
      </w: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pPr>
        <w:spacing w:line="620" w:lineRule="exact"/>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rPr>
        <w:t>本年度</w:t>
      </w:r>
      <w:r>
        <w:rPr>
          <w:rFonts w:ascii="仿宋_GB2312" w:hAnsi="仿宋_GB2312" w:eastAsia="仿宋_GB2312" w:cs="仿宋_GB2312"/>
          <w:color w:val="000000"/>
          <w:kern w:val="0"/>
          <w:sz w:val="31"/>
          <w:szCs w:val="31"/>
        </w:rPr>
        <w:t>机关运行经费</w:t>
      </w:r>
      <w:r>
        <w:rPr>
          <w:rFonts w:hint="eastAsia" w:ascii="仿宋_GB2312" w:hAnsi="仿宋_GB2312" w:eastAsia="仿宋_GB2312" w:cs="仿宋_GB2312"/>
          <w:color w:val="000000"/>
          <w:kern w:val="0"/>
          <w:sz w:val="31"/>
          <w:szCs w:val="31"/>
        </w:rPr>
        <w:t>预算</w:t>
      </w:r>
      <w:r>
        <w:rPr>
          <w:rFonts w:hint="eastAsia" w:ascii="仿宋_GB2312" w:hAnsi="仿宋_GB2312" w:eastAsia="仿宋_GB2312" w:cs="仿宋_GB2312"/>
          <w:color w:val="000000"/>
          <w:kern w:val="0"/>
          <w:sz w:val="31"/>
          <w:szCs w:val="31"/>
          <w:lang w:val="en-US" w:eastAsia="zh-CN"/>
        </w:rPr>
        <w:t>0</w:t>
      </w:r>
      <w:r>
        <w:rPr>
          <w:rFonts w:hint="eastAsia" w:ascii="仿宋_GB2312" w:hAnsi="仿宋_GB2312" w:eastAsia="仿宋_GB2312" w:cs="仿宋_GB2312"/>
          <w:color w:val="000000"/>
          <w:kern w:val="0"/>
          <w:sz w:val="31"/>
          <w:szCs w:val="31"/>
        </w:rPr>
        <w:t>万元，支出决算</w:t>
      </w:r>
      <w:r>
        <w:rPr>
          <w:rFonts w:hint="eastAsia" w:ascii="仿宋_GB2312" w:hAnsi="仿宋_GB2312" w:eastAsia="仿宋_GB2312" w:cs="仿宋_GB2312"/>
          <w:color w:val="000000"/>
          <w:kern w:val="0"/>
          <w:sz w:val="31"/>
          <w:szCs w:val="31"/>
          <w:lang w:val="en-US" w:eastAsia="zh-CN"/>
        </w:rPr>
        <w:t>0</w:t>
      </w:r>
      <w:r>
        <w:rPr>
          <w:rFonts w:hint="eastAsia"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0</w:t>
      </w:r>
      <w:r>
        <w:rPr>
          <w:rFonts w:hint="eastAsia" w:ascii="仿宋_GB2312" w:hAnsi="仿宋_GB2312" w:eastAsia="仿宋_GB2312" w:cs="仿宋_GB2312"/>
          <w:color w:val="000000"/>
          <w:kern w:val="0"/>
          <w:sz w:val="31"/>
          <w:szCs w:val="31"/>
        </w:rPr>
        <w:t>%。</w:t>
      </w: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本年度无政府采购支出预算。</w:t>
      </w: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截至2021年末，本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台（套）。2021年当年购置车辆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spacing w:line="620" w:lineRule="exact"/>
        <w:ind w:left="1278" w:leftChars="304" w:hanging="640"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Cs/>
          <w:color w:val="000000"/>
          <w:kern w:val="0"/>
          <w:sz w:val="32"/>
          <w:szCs w:val="32"/>
        </w:rPr>
        <w:t>（一）</w:t>
      </w:r>
      <w:r>
        <w:rPr>
          <w:rFonts w:ascii="楷体_GB2312" w:hAnsi="宋体" w:eastAsia="楷体_GB2312" w:cs="楷体_GB2312"/>
          <w:bCs/>
          <w:color w:val="000000"/>
          <w:kern w:val="0"/>
          <w:sz w:val="32"/>
          <w:szCs w:val="32"/>
        </w:rPr>
        <w:t>预算绩效管理工作开展情况</w:t>
      </w:r>
      <w:r>
        <w:rPr>
          <w:rFonts w:hint="eastAsia" w:ascii="楷体_GB2312" w:hAnsi="宋体" w:eastAsia="楷体_GB2312" w:cs="楷体_GB2312"/>
          <w:bCs/>
          <w:color w:val="000000"/>
          <w:kern w:val="0"/>
          <w:sz w:val="32"/>
          <w:szCs w:val="32"/>
        </w:rPr>
        <w:t>说明</w:t>
      </w:r>
      <w:r>
        <w:rPr>
          <w:rFonts w:ascii="楷体_GB2312" w:hAnsi="宋体" w:eastAsia="楷体_GB2312" w:cs="楷体_GB2312"/>
          <w:bCs/>
          <w:color w:val="000000"/>
          <w:kern w:val="0"/>
          <w:sz w:val="32"/>
          <w:szCs w:val="32"/>
        </w:rPr>
        <w:t>。</w:t>
      </w:r>
      <w:r>
        <w:rPr>
          <w:rFonts w:hint="eastAsia" w:ascii="楷体_GB2312" w:hAnsi="宋体" w:eastAsia="楷体_GB2312" w:cs="楷体_GB2312"/>
          <w:b/>
          <w:color w:val="000000"/>
          <w:kern w:val="0"/>
          <w:sz w:val="32"/>
          <w:szCs w:val="32"/>
        </w:rPr>
        <w:t xml:space="preserve">     </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积极推进预算绩效管理改革工作，建立了绩效管理制度体系，</w:t>
      </w:r>
      <w:r>
        <w:rPr>
          <w:rFonts w:hint="eastAsia" w:ascii="仿宋" w:hAnsi="仿宋" w:eastAsia="仿宋" w:cs="仿宋"/>
          <w:sz w:val="32"/>
          <w:szCs w:val="40"/>
        </w:rPr>
        <w:t>把制度建设作为开展绩效管理的关键环节，加强预算管理，提高财政资金使用效率；</w:t>
      </w:r>
      <w:r>
        <w:rPr>
          <w:rFonts w:hint="eastAsia" w:ascii="仿宋_GB2312" w:hAnsi="仿宋_GB2312" w:eastAsia="仿宋_GB2312" w:cs="仿宋_GB2312"/>
          <w:sz w:val="32"/>
          <w:szCs w:val="32"/>
        </w:rPr>
        <w:t>完善了绩效管理工作机制，</w:t>
      </w:r>
      <w:r>
        <w:rPr>
          <w:rFonts w:hint="eastAsia" w:ascii="仿宋" w:hAnsi="仿宋" w:eastAsia="仿宋" w:cs="仿宋"/>
          <w:sz w:val="32"/>
          <w:szCs w:val="40"/>
        </w:rPr>
        <w:t>根据</w:t>
      </w:r>
      <w:r>
        <w:rPr>
          <w:rFonts w:hint="eastAsia" w:ascii="仿宋" w:hAnsi="仿宋" w:eastAsia="仿宋" w:cs="仿宋"/>
          <w:sz w:val="32"/>
          <w:szCs w:val="40"/>
          <w:lang w:val="en-US" w:eastAsia="zh-CN"/>
        </w:rPr>
        <w:t>相关</w:t>
      </w:r>
      <w:r>
        <w:rPr>
          <w:rFonts w:hint="eastAsia" w:ascii="仿宋" w:hAnsi="仿宋" w:eastAsia="仿宋" w:cs="仿宋"/>
          <w:sz w:val="32"/>
          <w:szCs w:val="40"/>
        </w:rPr>
        <w:t>制度</w:t>
      </w:r>
      <w:r>
        <w:rPr>
          <w:rFonts w:hint="eastAsia" w:ascii="仿宋" w:hAnsi="仿宋" w:eastAsia="仿宋" w:cs="仿宋"/>
          <w:sz w:val="32"/>
          <w:szCs w:val="40"/>
          <w:lang w:val="en-US" w:eastAsia="zh-CN"/>
        </w:rPr>
        <w:t>的要求，</w:t>
      </w:r>
      <w:r>
        <w:rPr>
          <w:rFonts w:hint="eastAsia" w:ascii="仿宋" w:hAnsi="仿宋" w:eastAsia="仿宋" w:cs="仿宋"/>
          <w:sz w:val="32"/>
          <w:szCs w:val="40"/>
        </w:rPr>
        <w:t>对申报的预算项目加强审核、合理保障，所有项目必须</w:t>
      </w:r>
      <w:r>
        <w:rPr>
          <w:rFonts w:hint="eastAsia" w:ascii="仿宋" w:hAnsi="仿宋" w:eastAsia="仿宋" w:cs="仿宋"/>
          <w:sz w:val="32"/>
          <w:szCs w:val="40"/>
          <w:lang w:val="en-US" w:eastAsia="zh-CN"/>
        </w:rPr>
        <w:t>做到</w:t>
      </w:r>
      <w:r>
        <w:rPr>
          <w:rFonts w:hint="eastAsia" w:ascii="仿宋" w:hAnsi="仿宋" w:eastAsia="仿宋" w:cs="仿宋"/>
          <w:sz w:val="32"/>
          <w:szCs w:val="40"/>
        </w:rPr>
        <w:t>有明细的资金测算</w:t>
      </w:r>
      <w:r>
        <w:rPr>
          <w:rFonts w:hint="eastAsia" w:ascii="仿宋_GB2312" w:hAnsi="仿宋_GB2312" w:eastAsia="仿宋_GB2312" w:cs="仿宋_GB2312"/>
          <w:sz w:val="32"/>
          <w:szCs w:val="32"/>
        </w:rPr>
        <w:t>；明确了绩效管理职能，</w:t>
      </w:r>
      <w:r>
        <w:rPr>
          <w:rFonts w:hint="eastAsia" w:ascii="仿宋_GB2312" w:hAnsi="仿宋_GB2312" w:eastAsia="仿宋_GB2312" w:cs="仿宋_GB2312"/>
          <w:sz w:val="32"/>
          <w:szCs w:val="32"/>
          <w:lang w:val="en-US" w:eastAsia="zh-CN"/>
        </w:rPr>
        <w:t>根据工作需要</w:t>
      </w:r>
      <w:r>
        <w:rPr>
          <w:rFonts w:hint="eastAsia" w:ascii="仿宋_GB2312" w:hAnsi="仿宋_GB2312" w:eastAsia="仿宋_GB2312" w:cs="仿宋_GB2312"/>
          <w:sz w:val="32"/>
          <w:szCs w:val="32"/>
        </w:rPr>
        <w:t>由资金使用科室</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编制预算绩效评价表，</w:t>
      </w:r>
      <w:r>
        <w:rPr>
          <w:rFonts w:hint="eastAsia" w:ascii="仿宋_GB2312" w:hAnsi="仿宋_GB2312" w:eastAsia="仿宋_GB2312" w:cs="仿宋_GB2312"/>
          <w:sz w:val="32"/>
          <w:szCs w:val="32"/>
          <w:lang w:val="en-US" w:eastAsia="zh-CN"/>
        </w:rPr>
        <w:t>分别由</w:t>
      </w:r>
      <w:r>
        <w:rPr>
          <w:rFonts w:hint="eastAsia" w:ascii="仿宋_GB2312" w:hAnsi="仿宋_GB2312" w:eastAsia="仿宋_GB2312" w:cs="仿宋_GB2312"/>
          <w:sz w:val="32"/>
          <w:szCs w:val="32"/>
        </w:rPr>
        <w:t>财务分管</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和项目分管领导</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审核、单位负责人同意</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，方可向上级主管单位提出资金</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组织对2021年度市级财政安排的所有资金（含政府性基金、转移支付资金）进行全面自评，涵盖项目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个，涉及预算资金</w:t>
      </w:r>
      <w:r>
        <w:rPr>
          <w:rFonts w:hint="eastAsia" w:ascii="仿宋_GB2312" w:hAnsi="仿宋_GB2312" w:eastAsia="仿宋_GB2312" w:cs="仿宋_GB2312"/>
          <w:sz w:val="32"/>
          <w:szCs w:val="32"/>
          <w:lang w:val="en-US" w:eastAsia="zh-CN"/>
        </w:rPr>
        <w:t>413.63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组织开展2021年度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整体支出绩效自评工作，从评价情况来看，本单位较好的完成了</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绩效目标。</w:t>
      </w:r>
    </w:p>
    <w:p>
      <w:pPr>
        <w:spacing w:line="62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组织</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榆林市城镇生态园林技术服务中心专项业务经费</w:t>
      </w:r>
      <w:r>
        <w:rPr>
          <w:rFonts w:hint="eastAsia" w:ascii="仿宋_GB2312" w:hAnsi="仿宋_GB2312" w:eastAsia="仿宋_GB2312" w:cs="仿宋_GB2312"/>
          <w:sz w:val="32"/>
          <w:szCs w:val="32"/>
        </w:rPr>
        <w:t>项目开展了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的重点评价，涉及预算资金</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val="en-US" w:eastAsia="zh-CN"/>
        </w:rPr>
        <w:t>保障了榆阳河、榆溪河南段、芹河和沙河的日常维护</w:t>
      </w:r>
      <w:r>
        <w:rPr>
          <w:rFonts w:hint="eastAsia" w:ascii="仿宋_GB2312" w:hAnsi="仿宋_GB2312" w:eastAsia="仿宋_GB2312" w:cs="仿宋_GB2312"/>
          <w:sz w:val="32"/>
          <w:szCs w:val="40"/>
        </w:rPr>
        <w:t>。</w:t>
      </w:r>
    </w:p>
    <w:p>
      <w:pPr>
        <w:widowControl/>
        <w:spacing w:line="620" w:lineRule="exact"/>
        <w:ind w:firstLine="640" w:firstLineChars="20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w:t>
      </w:r>
      <w:r>
        <w:rPr>
          <w:rFonts w:hint="eastAsia" w:ascii="楷体_GB2312" w:hAnsi="宋体" w:eastAsia="楷体_GB2312" w:cs="楷体_GB2312"/>
          <w:bCs/>
          <w:color w:val="000000"/>
          <w:kern w:val="0"/>
          <w:sz w:val="32"/>
          <w:szCs w:val="32"/>
          <w:lang w:eastAsia="zh-CN"/>
        </w:rPr>
        <w:t>单位</w:t>
      </w:r>
      <w:r>
        <w:rPr>
          <w:rFonts w:ascii="楷体_GB2312" w:hAnsi="宋体" w:eastAsia="楷体_GB2312" w:cs="楷体_GB2312"/>
          <w:bCs/>
          <w:color w:val="000000"/>
          <w:kern w:val="0"/>
          <w:sz w:val="32"/>
          <w:szCs w:val="32"/>
        </w:rPr>
        <w:t>决算中项目绩效自评结果。</w:t>
      </w:r>
    </w:p>
    <w:p>
      <w:pPr>
        <w:adjustRightInd w:val="0"/>
        <w:snapToGrid w:val="0"/>
        <w:spacing w:line="62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eastAsia="zh-CN"/>
        </w:rPr>
        <w:t>单位</w:t>
      </w:r>
      <w:r>
        <w:rPr>
          <w:rFonts w:hint="eastAsia" w:ascii="仿宋_GB2312" w:hAnsi="仿宋_GB2312" w:eastAsia="仿宋_GB2312" w:cs="仿宋_GB2312"/>
          <w:sz w:val="32"/>
          <w:szCs w:val="40"/>
        </w:rPr>
        <w:t>在市级</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决算中反映</w:t>
      </w:r>
      <w:r>
        <w:rPr>
          <w:rFonts w:hint="eastAsia" w:ascii="仿宋_GB2312" w:hAnsi="仿宋_GB2312" w:eastAsia="仿宋_GB2312" w:cs="仿宋_GB2312"/>
          <w:sz w:val="32"/>
          <w:szCs w:val="32"/>
          <w:lang w:val="en-US" w:eastAsia="zh-CN"/>
        </w:rPr>
        <w:t>榆林市城镇生态园林技术服务中心</w:t>
      </w:r>
      <w:r>
        <w:rPr>
          <w:rFonts w:hint="eastAsia" w:ascii="仿宋_GB2312" w:hAnsi="仿宋_GB2312" w:eastAsia="仿宋_GB2312" w:cs="仿宋_GB2312"/>
          <w:sz w:val="32"/>
          <w:szCs w:val="40"/>
          <w:lang w:val="en-US" w:eastAsia="zh-CN"/>
        </w:rPr>
        <w:t>专项业务经费</w:t>
      </w:r>
      <w:r>
        <w:rPr>
          <w:rFonts w:hint="eastAsia" w:ascii="仿宋_GB2312" w:hAnsi="仿宋_GB2312" w:eastAsia="仿宋_GB2312" w:cs="仿宋_GB2312"/>
          <w:sz w:val="32"/>
          <w:szCs w:val="40"/>
        </w:rPr>
        <w:t>项目支出绩效自评结果。</w:t>
      </w:r>
    </w:p>
    <w:p>
      <w:pPr>
        <w:adjustRightInd w:val="0"/>
        <w:snapToGrid w:val="0"/>
        <w:spacing w:line="580" w:lineRule="exact"/>
        <w:ind w:firstLine="640" w:firstLineChars="200"/>
        <w:rPr>
          <w:rFonts w:ascii="仿宋_GB2312" w:hAnsi="仿宋_GB2312" w:eastAsia="仿宋_GB2312" w:cs="仿宋_GB2312"/>
          <w:sz w:val="32"/>
          <w:szCs w:val="40"/>
        </w:rPr>
        <w:sectPr>
          <w:pgSz w:w="11906" w:h="16838"/>
          <w:pgMar w:top="1928" w:right="1644" w:bottom="1474" w:left="1758" w:header="851" w:footer="964" w:gutter="0"/>
          <w:pgNumType w:fmt="numberInDash"/>
          <w:cols w:space="720" w:num="1"/>
          <w:docGrid w:type="lines" w:linePitch="315" w:charSpace="0"/>
        </w:sectPr>
      </w:pPr>
      <w:r>
        <w:rPr>
          <w:rFonts w:hint="eastAsia" w:ascii="仿宋_GB2312" w:hAnsi="仿宋_GB2312" w:eastAsia="仿宋_GB2312" w:cs="仿宋_GB2312"/>
          <w:sz w:val="32"/>
          <w:szCs w:val="40"/>
          <w:lang w:val="en-US" w:eastAsia="zh-CN"/>
        </w:rPr>
        <w:t>专项业务经费</w:t>
      </w:r>
      <w:r>
        <w:rPr>
          <w:rFonts w:hint="eastAsia" w:ascii="仿宋_GB2312" w:hAnsi="仿宋_GB2312" w:eastAsia="仿宋_GB2312" w:cs="仿宋_GB2312"/>
          <w:sz w:val="32"/>
          <w:szCs w:val="40"/>
        </w:rPr>
        <w:t>项目支出绩效自评综述：全年预算数</w:t>
      </w:r>
      <w:r>
        <w:rPr>
          <w:rFonts w:hint="eastAsia" w:ascii="仿宋_GB2312" w:hAnsi="仿宋_GB2312" w:eastAsia="仿宋_GB2312" w:cs="仿宋_GB2312"/>
          <w:sz w:val="32"/>
          <w:szCs w:val="40"/>
          <w:lang w:val="en-US" w:eastAsia="zh-CN"/>
        </w:rPr>
        <w:t>180</w:t>
      </w:r>
      <w:r>
        <w:rPr>
          <w:rFonts w:hint="eastAsia" w:ascii="仿宋_GB2312" w:hAnsi="仿宋_GB2312" w:eastAsia="仿宋_GB2312" w:cs="仿宋_GB2312"/>
          <w:sz w:val="32"/>
          <w:szCs w:val="40"/>
        </w:rPr>
        <w:t>万元，执行数</w:t>
      </w:r>
      <w:r>
        <w:rPr>
          <w:rFonts w:hint="eastAsia" w:ascii="仿宋_GB2312" w:hAnsi="仿宋_GB2312" w:eastAsia="仿宋_GB2312" w:cs="仿宋_GB2312"/>
          <w:sz w:val="32"/>
          <w:szCs w:val="40"/>
          <w:lang w:val="en-US" w:eastAsia="zh-CN"/>
        </w:rPr>
        <w:t>180</w:t>
      </w:r>
      <w:r>
        <w:rPr>
          <w:rFonts w:hint="eastAsia" w:ascii="仿宋_GB2312" w:hAnsi="仿宋_GB2312" w:eastAsia="仿宋_GB2312" w:cs="仿宋_GB2312"/>
          <w:sz w:val="32"/>
          <w:szCs w:val="40"/>
        </w:rPr>
        <w:t>万元，完成预算的</w:t>
      </w:r>
      <w:r>
        <w:rPr>
          <w:rFonts w:hint="eastAsia" w:ascii="仿宋_GB2312" w:hAnsi="仿宋_GB2312" w:eastAsia="仿宋_GB2312" w:cs="仿宋_GB2312"/>
          <w:sz w:val="32"/>
          <w:szCs w:val="40"/>
          <w:lang w:val="en-US" w:eastAsia="zh-CN"/>
        </w:rPr>
        <w:t>100</w:t>
      </w:r>
      <w:r>
        <w:rPr>
          <w:rFonts w:hint="eastAsia" w:ascii="仿宋_GB2312" w:hAnsi="仿宋_GB2312" w:eastAsia="仿宋_GB2312" w:cs="仿宋_GB2312"/>
          <w:sz w:val="32"/>
          <w:szCs w:val="40"/>
        </w:rPr>
        <w:t>%。项目绩效目标完成情况：</w:t>
      </w:r>
      <w:r>
        <w:rPr>
          <w:rFonts w:hint="eastAsia" w:ascii="仿宋" w:hAnsi="仿宋" w:eastAsia="仿宋" w:cs="仿宋"/>
          <w:sz w:val="32"/>
          <w:szCs w:val="40"/>
        </w:rPr>
        <w:t>良好</w:t>
      </w:r>
      <w:r>
        <w:rPr>
          <w:rFonts w:hint="eastAsia" w:ascii="仿宋_GB2312" w:hAnsi="仿宋_GB2312" w:eastAsia="仿宋_GB2312" w:cs="仿宋_GB2312"/>
          <w:sz w:val="32"/>
          <w:szCs w:val="40"/>
        </w:rPr>
        <w:t>。</w:t>
      </w:r>
    </w:p>
    <w:tbl>
      <w:tblPr>
        <w:tblStyle w:val="8"/>
        <w:tblpPr w:leftFromText="180" w:rightFromText="180" w:vertAnchor="text" w:horzAnchor="margin" w:tblpXSpec="center" w:tblpY="-187"/>
        <w:tblOverlap w:val="never"/>
        <w:tblW w:w="9363" w:type="dxa"/>
        <w:tblInd w:w="0" w:type="dxa"/>
        <w:tblLayout w:type="autofit"/>
        <w:tblCellMar>
          <w:top w:w="0" w:type="dxa"/>
          <w:left w:w="108" w:type="dxa"/>
          <w:bottom w:w="0" w:type="dxa"/>
          <w:right w:w="108" w:type="dxa"/>
        </w:tblCellMar>
      </w:tblPr>
      <w:tblGrid>
        <w:gridCol w:w="493"/>
        <w:gridCol w:w="260"/>
        <w:gridCol w:w="906"/>
        <w:gridCol w:w="1270"/>
        <w:gridCol w:w="467"/>
        <w:gridCol w:w="1241"/>
        <w:gridCol w:w="95"/>
        <w:gridCol w:w="1188"/>
        <w:gridCol w:w="1085"/>
        <w:gridCol w:w="184"/>
        <w:gridCol w:w="502"/>
        <w:gridCol w:w="127"/>
        <w:gridCol w:w="558"/>
        <w:gridCol w:w="321"/>
        <w:gridCol w:w="666"/>
      </w:tblGrid>
      <w:tr>
        <w:tblPrEx>
          <w:tblCellMar>
            <w:top w:w="0" w:type="dxa"/>
            <w:left w:w="108" w:type="dxa"/>
            <w:bottom w:w="0" w:type="dxa"/>
            <w:right w:w="108" w:type="dxa"/>
          </w:tblCellMar>
        </w:tblPrEx>
        <w:trPr>
          <w:trHeight w:val="550" w:hRule="atLeast"/>
        </w:trPr>
        <w:tc>
          <w:tcPr>
            <w:tcW w:w="9363" w:type="dxa"/>
            <w:gridSpan w:val="15"/>
            <w:tcBorders>
              <w:top w:val="nil"/>
              <w:left w:val="nil"/>
              <w:bottom w:val="nil"/>
              <w:right w:val="nil"/>
            </w:tcBorders>
            <w:shd w:val="clear" w:color="auto" w:fill="auto"/>
            <w:vAlign w:val="center"/>
          </w:tcPr>
          <w:p>
            <w:pPr>
              <w:widowControl/>
              <w:spacing w:line="500" w:lineRule="exact"/>
              <w:jc w:val="center"/>
              <w:textAlignment w:val="center"/>
              <w:rPr>
                <w:rFonts w:ascii="方正小标宋简体" w:hAnsi="方正小标宋简体" w:eastAsia="方正小标宋简体" w:cs="方正小标宋简体"/>
                <w:color w:val="000000"/>
                <w:sz w:val="32"/>
                <w:szCs w:val="32"/>
              </w:rPr>
            </w:pPr>
            <w:r>
              <w:rPr>
                <w:rFonts w:ascii="方正小标宋简体" w:hAnsi="方正小标宋简体" w:eastAsia="方正小标宋简体" w:cs="方正小标宋简体"/>
                <w:color w:val="000000"/>
                <w:kern w:val="0"/>
                <w:sz w:val="32"/>
                <w:szCs w:val="32"/>
                <w:lang w:bidi="ar"/>
              </w:rPr>
              <w:t>项目支出绩效自评表</w:t>
            </w:r>
          </w:p>
        </w:tc>
      </w:tr>
      <w:tr>
        <w:tblPrEx>
          <w:tblCellMar>
            <w:top w:w="0" w:type="dxa"/>
            <w:left w:w="108" w:type="dxa"/>
            <w:bottom w:w="0" w:type="dxa"/>
            <w:right w:w="108" w:type="dxa"/>
          </w:tblCellMar>
        </w:tblPrEx>
        <w:trPr>
          <w:trHeight w:val="344" w:hRule="atLeast"/>
        </w:trPr>
        <w:tc>
          <w:tcPr>
            <w:tcW w:w="9363" w:type="dxa"/>
            <w:gridSpan w:val="15"/>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（2021年度）</w:t>
            </w:r>
          </w:p>
        </w:tc>
      </w:tr>
      <w:tr>
        <w:tblPrEx>
          <w:tblCellMar>
            <w:top w:w="0" w:type="dxa"/>
            <w:left w:w="108" w:type="dxa"/>
            <w:bottom w:w="0" w:type="dxa"/>
            <w:right w:w="108" w:type="dxa"/>
          </w:tblCellMar>
        </w:tblPrEx>
        <w:trPr>
          <w:trHeight w:val="284" w:hRule="atLeast"/>
        </w:trPr>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770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榆林市城镇生态园林技术服务中心专项业务经费</w:t>
            </w:r>
          </w:p>
        </w:tc>
      </w:tr>
      <w:tr>
        <w:tblPrEx>
          <w:tblCellMar>
            <w:top w:w="0" w:type="dxa"/>
            <w:left w:w="108" w:type="dxa"/>
            <w:bottom w:w="0" w:type="dxa"/>
            <w:right w:w="108" w:type="dxa"/>
          </w:tblCellMar>
        </w:tblPrEx>
        <w:trPr>
          <w:trHeight w:val="284" w:hRule="atLeast"/>
        </w:trPr>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及代码</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ascii="宋体" w:hAnsi="宋体" w:cs="宋体"/>
                <w:color w:val="000000"/>
                <w:sz w:val="20"/>
                <w:szCs w:val="20"/>
              </w:rPr>
              <w:t>榆林市住房和城乡建设局</w:t>
            </w:r>
            <w:r>
              <w:rPr>
                <w:rFonts w:hint="eastAsia" w:ascii="宋体" w:hAnsi="宋体" w:cs="宋体"/>
                <w:color w:val="000000"/>
                <w:sz w:val="20"/>
                <w:szCs w:val="20"/>
              </w:rPr>
              <w:t>-214001</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1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榆林市城镇生态园林技术服务中心</w:t>
            </w:r>
          </w:p>
        </w:tc>
      </w:tr>
      <w:tr>
        <w:tblPrEx>
          <w:tblCellMar>
            <w:top w:w="0" w:type="dxa"/>
            <w:left w:w="108" w:type="dxa"/>
            <w:bottom w:w="0" w:type="dxa"/>
            <w:right w:w="108" w:type="dxa"/>
          </w:tblCellMar>
        </w:tblPrEx>
        <w:trPr>
          <w:trHeight w:val="284" w:hRule="atLeast"/>
        </w:trPr>
        <w:tc>
          <w:tcPr>
            <w:tcW w:w="16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项目资金</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（万元）</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108" w:type="dxa"/>
            <w:bottom w:w="0" w:type="dxa"/>
            <w:right w:w="108" w:type="dxa"/>
          </w:tblCellMar>
        </w:tblPrEx>
        <w:trPr>
          <w:trHeight w:val="284" w:hRule="atLeast"/>
        </w:trPr>
        <w:tc>
          <w:tcPr>
            <w:tcW w:w="1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180</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180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r>
      <w:tr>
        <w:tblPrEx>
          <w:tblCellMar>
            <w:top w:w="0" w:type="dxa"/>
            <w:left w:w="108" w:type="dxa"/>
            <w:bottom w:w="0" w:type="dxa"/>
            <w:right w:w="108" w:type="dxa"/>
          </w:tblCellMar>
        </w:tblPrEx>
        <w:trPr>
          <w:trHeight w:val="284" w:hRule="atLeast"/>
        </w:trPr>
        <w:tc>
          <w:tcPr>
            <w:tcW w:w="1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180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180</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180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284" w:hRule="atLeast"/>
        </w:trPr>
        <w:tc>
          <w:tcPr>
            <w:tcW w:w="1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344" w:hRule="atLeast"/>
        </w:trPr>
        <w:tc>
          <w:tcPr>
            <w:tcW w:w="753" w:type="dxa"/>
            <w:gridSpan w:val="2"/>
            <w:vMerge w:val="restart"/>
            <w:tcBorders>
              <w:top w:val="single" w:color="000000" w:sz="4" w:space="0"/>
              <w:left w:val="single" w:color="000000" w:sz="4" w:space="0"/>
              <w:right w:val="single" w:color="auto" w:sz="4" w:space="0"/>
            </w:tcBorders>
            <w:shd w:val="clear" w:color="auto" w:fill="auto"/>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167"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4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558" w:hRule="atLeast"/>
        </w:trPr>
        <w:tc>
          <w:tcPr>
            <w:tcW w:w="753" w:type="dxa"/>
            <w:gridSpan w:val="2"/>
            <w:vMerge w:val="continue"/>
            <w:tcBorders>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0"/>
                <w:szCs w:val="20"/>
              </w:rPr>
            </w:pPr>
          </w:p>
        </w:tc>
        <w:tc>
          <w:tcPr>
            <w:tcW w:w="5167"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r>
              <w:rPr>
                <w:rFonts w:hint="eastAsia" w:ascii="宋体" w:hAnsi="宋体" w:cs="宋体"/>
                <w:color w:val="000000"/>
                <w:sz w:val="20"/>
                <w:szCs w:val="20"/>
              </w:rPr>
              <w:t>目标1：加强对各县市区城镇生态园林建设工作技术指导，开展全市城镇生态园林调研；</w:t>
            </w:r>
          </w:p>
          <w:p>
            <w:pPr>
              <w:jc w:val="left"/>
              <w:rPr>
                <w:rFonts w:hint="eastAsia" w:ascii="宋体" w:hAnsi="宋体" w:cs="宋体"/>
                <w:color w:val="000000"/>
                <w:sz w:val="20"/>
                <w:szCs w:val="20"/>
              </w:rPr>
            </w:pPr>
            <w:r>
              <w:rPr>
                <w:rFonts w:hint="eastAsia" w:ascii="宋体" w:hAnsi="宋体" w:cs="宋体"/>
                <w:color w:val="000000"/>
                <w:sz w:val="20"/>
                <w:szCs w:val="20"/>
              </w:rPr>
              <w:t>目标2：对中心城区生态园林建设提供技术服务；</w:t>
            </w:r>
          </w:p>
          <w:p>
            <w:pPr>
              <w:jc w:val="left"/>
              <w:rPr>
                <w:rFonts w:hint="eastAsia" w:ascii="宋体" w:hAnsi="宋体" w:cs="宋体"/>
                <w:color w:val="000000"/>
                <w:sz w:val="20"/>
                <w:szCs w:val="20"/>
              </w:rPr>
            </w:pPr>
            <w:r>
              <w:rPr>
                <w:rFonts w:hint="eastAsia" w:ascii="宋体" w:hAnsi="宋体" w:cs="宋体"/>
                <w:color w:val="000000"/>
                <w:sz w:val="20"/>
                <w:szCs w:val="20"/>
              </w:rPr>
              <w:t>目标3：强抓共管，确保“四河”水质达标，沿岸干净整洁；</w:t>
            </w:r>
          </w:p>
          <w:p>
            <w:pPr>
              <w:jc w:val="left"/>
              <w:rPr>
                <w:rFonts w:hint="eastAsia" w:ascii="宋体" w:hAnsi="宋体" w:cs="宋体"/>
                <w:color w:val="000000"/>
                <w:sz w:val="20"/>
                <w:szCs w:val="20"/>
              </w:rPr>
            </w:pPr>
            <w:r>
              <w:rPr>
                <w:rFonts w:hint="eastAsia" w:ascii="宋体" w:hAnsi="宋体" w:cs="宋体"/>
                <w:color w:val="000000"/>
                <w:sz w:val="20"/>
                <w:szCs w:val="20"/>
              </w:rPr>
              <w:t>目标4：大力推进榆阳河、沙河、芹河及三岔湾全民健身暨湿地生态保护修复工程；</w:t>
            </w:r>
          </w:p>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rPr>
              <w:t>目标5：积极主动联系中央省市环保部门，做好榆阳河、沙河黑臭水体销号工作</w:t>
            </w:r>
            <w:r>
              <w:rPr>
                <w:rFonts w:hint="eastAsia" w:ascii="宋体" w:hAnsi="宋体" w:cs="宋体"/>
                <w:color w:val="000000"/>
                <w:sz w:val="20"/>
                <w:szCs w:val="20"/>
                <w:lang w:eastAsia="zh-CN"/>
              </w:rPr>
              <w:t>。</w:t>
            </w:r>
          </w:p>
        </w:tc>
        <w:tc>
          <w:tcPr>
            <w:tcW w:w="34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目标1：对各县市区城镇生态园林建设工作技术指导，开展</w:t>
            </w:r>
            <w:r>
              <w:rPr>
                <w:rFonts w:hint="eastAsia" w:ascii="宋体" w:hAnsi="宋体" w:cs="宋体"/>
                <w:color w:val="auto"/>
                <w:sz w:val="20"/>
                <w:szCs w:val="20"/>
                <w:highlight w:val="none"/>
                <w:lang w:val="en-US" w:eastAsia="zh-CN"/>
              </w:rPr>
              <w:t>了</w:t>
            </w:r>
            <w:r>
              <w:rPr>
                <w:rFonts w:hint="eastAsia" w:ascii="宋体" w:hAnsi="宋体" w:cs="宋体"/>
                <w:color w:val="auto"/>
                <w:sz w:val="20"/>
                <w:szCs w:val="20"/>
                <w:highlight w:val="none"/>
              </w:rPr>
              <w:t>全市城镇生态园林调研；</w:t>
            </w:r>
          </w:p>
          <w:p>
            <w:pPr>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目标2：对中心城区生态园林建设提供技术服务；</w:t>
            </w:r>
          </w:p>
          <w:p>
            <w:pPr>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目标3：</w:t>
            </w:r>
            <w:r>
              <w:rPr>
                <w:rFonts w:hint="eastAsia" w:ascii="宋体" w:hAnsi="宋体" w:cs="宋体"/>
                <w:color w:val="auto"/>
                <w:sz w:val="20"/>
                <w:szCs w:val="20"/>
                <w:highlight w:val="none"/>
                <w:lang w:val="en-US" w:eastAsia="zh-CN"/>
              </w:rPr>
              <w:t>完成</w:t>
            </w:r>
            <w:r>
              <w:rPr>
                <w:rFonts w:hint="eastAsia" w:ascii="宋体" w:hAnsi="宋体" w:cs="宋体"/>
                <w:color w:val="auto"/>
                <w:sz w:val="20"/>
                <w:szCs w:val="20"/>
                <w:highlight w:val="none"/>
              </w:rPr>
              <w:t>“四河”水质达标，沿岸干净整洁；</w:t>
            </w:r>
          </w:p>
          <w:p>
            <w:pPr>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目标4：推进</w:t>
            </w:r>
            <w:r>
              <w:rPr>
                <w:rFonts w:hint="eastAsia" w:ascii="宋体" w:hAnsi="宋体" w:cs="宋体"/>
                <w:color w:val="auto"/>
                <w:sz w:val="20"/>
                <w:szCs w:val="20"/>
                <w:highlight w:val="none"/>
                <w:lang w:val="en-US" w:eastAsia="zh-CN"/>
              </w:rPr>
              <w:t>了</w:t>
            </w:r>
            <w:r>
              <w:rPr>
                <w:rFonts w:hint="eastAsia" w:ascii="宋体" w:hAnsi="宋体" w:cs="宋体"/>
                <w:color w:val="auto"/>
                <w:sz w:val="20"/>
                <w:szCs w:val="20"/>
                <w:highlight w:val="none"/>
              </w:rPr>
              <w:t>榆阳河、沙河、芹河及三岔湾全民健身暨湿地生态保护修复工程；</w:t>
            </w:r>
          </w:p>
          <w:p>
            <w:pPr>
              <w:jc w:val="left"/>
              <w:rPr>
                <w:rFonts w:ascii="宋体" w:hAnsi="宋体" w:cs="宋体"/>
                <w:color w:val="auto"/>
                <w:sz w:val="20"/>
                <w:szCs w:val="20"/>
                <w:highlight w:val="lightGray"/>
              </w:rPr>
            </w:pPr>
            <w:r>
              <w:rPr>
                <w:rFonts w:hint="eastAsia" w:ascii="宋体" w:hAnsi="宋体" w:cs="宋体"/>
                <w:color w:val="auto"/>
                <w:sz w:val="20"/>
                <w:szCs w:val="20"/>
                <w:highlight w:val="none"/>
              </w:rPr>
              <w:t>目标5：</w:t>
            </w:r>
            <w:r>
              <w:rPr>
                <w:rFonts w:hint="eastAsia" w:ascii="宋体" w:hAnsi="宋体" w:cs="宋体"/>
                <w:color w:val="auto"/>
                <w:sz w:val="20"/>
                <w:szCs w:val="20"/>
                <w:highlight w:val="none"/>
                <w:lang w:val="en-US" w:eastAsia="zh-CN"/>
              </w:rPr>
              <w:t>已完成</w:t>
            </w:r>
            <w:r>
              <w:rPr>
                <w:rFonts w:hint="eastAsia" w:ascii="宋体" w:hAnsi="宋体" w:cs="宋体"/>
                <w:color w:val="auto"/>
                <w:sz w:val="20"/>
                <w:szCs w:val="20"/>
                <w:highlight w:val="none"/>
              </w:rPr>
              <w:t>榆阳河、沙河黑臭水体</w:t>
            </w:r>
            <w:r>
              <w:rPr>
                <w:rFonts w:hint="eastAsia" w:ascii="宋体" w:hAnsi="宋体" w:cs="宋体"/>
                <w:color w:val="auto"/>
                <w:sz w:val="20"/>
                <w:szCs w:val="20"/>
                <w:highlight w:val="none"/>
                <w:lang w:val="en-US" w:eastAsia="zh-CN"/>
              </w:rPr>
              <w:t>治理，达到长治久清标准</w:t>
            </w:r>
            <w:r>
              <w:rPr>
                <w:rFonts w:hint="eastAsia" w:ascii="宋体" w:hAnsi="宋体" w:cs="宋体"/>
                <w:color w:val="auto"/>
                <w:sz w:val="20"/>
                <w:szCs w:val="20"/>
                <w:highlight w:val="none"/>
                <w:lang w:eastAsia="zh-CN"/>
              </w:rPr>
              <w:t>。</w:t>
            </w:r>
          </w:p>
        </w:tc>
      </w:tr>
      <w:tr>
        <w:tblPrEx>
          <w:tblCellMar>
            <w:top w:w="0" w:type="dxa"/>
            <w:left w:w="108" w:type="dxa"/>
            <w:bottom w:w="0" w:type="dxa"/>
            <w:right w:w="108" w:type="dxa"/>
          </w:tblCellMar>
        </w:tblPrEx>
        <w:trPr>
          <w:trHeight w:val="306"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绩</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 w:leftChars="-35" w:hanging="74" w:hangingChars="37"/>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 w:leftChars="-51" w:right="-124" w:rightChars="-59" w:hanging="108" w:hangingChars="54"/>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实际完成值</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ind w:left="1" w:leftChars="-51" w:right="-97" w:rightChars="-46" w:hanging="108" w:hangingChars="54"/>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未完成原因分析</w:t>
            </w: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产出指标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维护河道数量</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4条</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垃圾清理、清运率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河道污水管网疏通率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eastAsia="宋体" w:cs="宋体"/>
                <w:color w:val="000000"/>
                <w:kern w:val="2"/>
                <w:sz w:val="20"/>
                <w:szCs w:val="20"/>
                <w:lang w:val="en-US" w:eastAsia="zh-CN" w:bidi="ar-SA"/>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河道疏通率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eastAsia="宋体" w:cs="宋体"/>
                <w:color w:val="000000"/>
                <w:kern w:val="2"/>
                <w:sz w:val="20"/>
                <w:szCs w:val="20"/>
                <w:lang w:val="en-US" w:eastAsia="zh-CN" w:bidi="ar-SA"/>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堤坝防护率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eastAsia="宋体" w:cs="宋体"/>
                <w:color w:val="000000"/>
                <w:kern w:val="2"/>
                <w:sz w:val="20"/>
                <w:szCs w:val="20"/>
                <w:lang w:val="en-US" w:eastAsia="zh-CN" w:bidi="ar-SA"/>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四河日常管护合格率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eastAsia="宋体" w:cs="宋体"/>
                <w:color w:val="000000"/>
                <w:kern w:val="2"/>
                <w:sz w:val="20"/>
                <w:szCs w:val="20"/>
                <w:lang w:val="en-US" w:eastAsia="zh-CN" w:bidi="ar-SA"/>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6</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资金指指出进度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2021年年底前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2021年年底前</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7</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资金投入</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180万元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180万元</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7</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3"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效益指标</w:t>
            </w:r>
          </w:p>
        </w:tc>
        <w:tc>
          <w:tcPr>
            <w:tcW w:w="1270" w:type="dxa"/>
            <w:vMerge w:val="restart"/>
            <w:tcBorders>
              <w:top w:val="single" w:color="000000" w:sz="4" w:space="0"/>
              <w:left w:val="single" w:color="000000" w:sz="4" w:space="0"/>
              <w:right w:val="single" w:color="000000" w:sz="4" w:space="0"/>
            </w:tcBorders>
            <w:shd w:val="clear" w:color="auto" w:fill="auto"/>
            <w:vAlign w:val="center"/>
          </w:tcPr>
          <w:p>
            <w:pPr>
              <w:widowControl/>
              <w:spacing w:line="180"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社会效益</w:t>
            </w:r>
          </w:p>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1803" w:type="dxa"/>
            <w:gridSpan w:val="3"/>
            <w:tcBorders>
              <w:top w:val="single" w:color="000000" w:sz="4" w:space="0"/>
              <w:left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cs="宋体"/>
                <w:color w:val="000000"/>
                <w:sz w:val="20"/>
                <w:szCs w:val="20"/>
                <w:lang w:val="en-US"/>
              </w:rPr>
            </w:pPr>
            <w:r>
              <w:rPr>
                <w:rFonts w:hint="default" w:ascii="宋体" w:hAnsi="宋体" w:cs="宋体"/>
                <w:color w:val="000000"/>
                <w:sz w:val="20"/>
                <w:szCs w:val="20"/>
                <w:lang w:val="en-US" w:eastAsia="zh-CN"/>
              </w:rPr>
              <w:t>消除河道安全隐患，改善四河河道环境。</w:t>
            </w:r>
          </w:p>
        </w:tc>
        <w:tc>
          <w:tcPr>
            <w:tcW w:w="1188" w:type="dxa"/>
            <w:tcBorders>
              <w:top w:val="single" w:color="000000" w:sz="4" w:space="0"/>
              <w:left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显著</w:t>
            </w:r>
          </w:p>
        </w:tc>
        <w:tc>
          <w:tcPr>
            <w:tcW w:w="1085" w:type="dxa"/>
            <w:tcBorders>
              <w:top w:val="single" w:color="000000" w:sz="4" w:space="0"/>
              <w:left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显著改善</w:t>
            </w:r>
          </w:p>
        </w:tc>
        <w:tc>
          <w:tcPr>
            <w:tcW w:w="686" w:type="dxa"/>
            <w:gridSpan w:val="2"/>
            <w:tcBorders>
              <w:top w:val="single" w:color="000000" w:sz="4" w:space="0"/>
              <w:left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85" w:type="dxa"/>
            <w:gridSpan w:val="2"/>
            <w:tcBorders>
              <w:top w:val="single" w:color="000000" w:sz="4" w:space="0"/>
              <w:left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生态效益</w:t>
            </w:r>
          </w:p>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生态环境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改善</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有效改善</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可持续影响</w:t>
            </w:r>
          </w:p>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人民群众生活环境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提高</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显著提高</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8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服务对象</w:t>
            </w:r>
          </w:p>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1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受益群众满意度</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eastAsia="宋体" w:cs="宋体"/>
                <w:color w:val="000000"/>
                <w:kern w:val="2"/>
                <w:sz w:val="20"/>
                <w:szCs w:val="20"/>
                <w:lang w:val="en-US" w:eastAsia="zh-CN" w:bidi="ar-SA"/>
              </w:rPr>
            </w:pPr>
            <w:r>
              <w:rPr>
                <w:rFonts w:ascii="宋体" w:hAnsi="宋体" w:cs="宋体"/>
                <w:color w:val="000000"/>
                <w:sz w:val="20"/>
                <w:szCs w:val="20"/>
              </w:rPr>
              <w:t>≥</w:t>
            </w:r>
            <w:r>
              <w:rPr>
                <w:rFonts w:hint="eastAsia" w:ascii="宋体" w:hAnsi="宋体" w:cs="宋体"/>
                <w:color w:val="000000"/>
                <w:sz w:val="20"/>
                <w:szCs w:val="20"/>
                <w:lang w:val="en-US" w:eastAsia="zh-CN"/>
              </w:rPr>
              <w:t>95%</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10</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5" w:hRule="atLeast"/>
        </w:trPr>
        <w:tc>
          <w:tcPr>
            <w:tcW w:w="76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总分</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97</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805" w:hRule="atLeast"/>
        </w:trPr>
        <w:tc>
          <w:tcPr>
            <w:tcW w:w="936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备注：“一级指标”权重统一设置为：产出指标50分、效益指标30分、服务对象满意度指标10分、预算资金执行率10分（在“项目资金”栏内）。如有特殊情况，除预算资金执行率外，其他指标权重可作适当调整，但总分应为100分。各</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可根据指标的重要程度自主确定各项“三级指标”的权重分值。</w:t>
            </w:r>
          </w:p>
        </w:tc>
      </w:tr>
    </w:tbl>
    <w:p>
      <w:pPr>
        <w:ind w:firstLine="640" w:firstLineChars="200"/>
        <w:rPr>
          <w:rFonts w:ascii="楷体" w:hAnsi="楷体" w:eastAsia="楷体" w:cs="楷体"/>
          <w:b/>
          <w:bCs/>
          <w:sz w:val="32"/>
          <w:szCs w:val="40"/>
        </w:rPr>
      </w:pPr>
      <w:r>
        <w:rPr>
          <w:rFonts w:hint="eastAsia" w:ascii="楷体" w:hAnsi="楷体" w:eastAsia="楷体" w:cs="楷体"/>
          <w:sz w:val="32"/>
          <w:szCs w:val="40"/>
        </w:rPr>
        <w:t>（三）</w:t>
      </w:r>
      <w:r>
        <w:rPr>
          <w:rFonts w:hint="eastAsia" w:ascii="楷体" w:hAnsi="楷体" w:eastAsia="楷体" w:cs="楷体"/>
          <w:sz w:val="32"/>
          <w:szCs w:val="40"/>
          <w:lang w:eastAsia="zh-CN"/>
        </w:rPr>
        <w:t>单位</w:t>
      </w:r>
      <w:r>
        <w:rPr>
          <w:rFonts w:hint="eastAsia" w:ascii="楷体" w:hAnsi="楷体" w:eastAsia="楷体" w:cs="楷体"/>
          <w:sz w:val="32"/>
          <w:szCs w:val="40"/>
        </w:rPr>
        <w:t>整体支出绩效自评结果。</w:t>
      </w:r>
    </w:p>
    <w:p>
      <w:pPr>
        <w:spacing w:line="6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根据年度设定的绩效目标，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整体支出自评得</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val="en-US" w:eastAsia="zh-CN"/>
        </w:rPr>
        <w:t>96</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447.36</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413.63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92.46</w:t>
      </w:r>
      <w:r>
        <w:rPr>
          <w:rFonts w:hint="eastAsia" w:ascii="仿宋_GB2312" w:hAnsi="仿宋_GB2312" w:eastAsia="仿宋_GB2312" w:cs="仿宋_GB2312"/>
          <w:sz w:val="32"/>
          <w:szCs w:val="32"/>
        </w:rPr>
        <w:t>%。</w:t>
      </w:r>
    </w:p>
    <w:p>
      <w:pPr>
        <w:spacing w:line="6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总体运行情况及取得的成绩：</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河道生态治理修复工程持续发力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根据国家关于落实住房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城乡建设部印发的《关于加强生态修复城市修补工作的指导意见》要求，继续推进榆阳河、芹河生态保护治理工程</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手续办理。</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完成规划方案、可研报告、初步设计、环评编制、多规合一检测、施工图设计</w:t>
      </w:r>
      <w:r>
        <w:rPr>
          <w:rFonts w:hint="eastAsia" w:ascii="仿宋_GB2312" w:hAnsi="仿宋_GB2312" w:eastAsia="仿宋_GB2312" w:cs="仿宋_GB2312"/>
          <w:sz w:val="32"/>
          <w:szCs w:val="32"/>
          <w:lang w:val="en-US" w:eastAsia="zh-CN"/>
        </w:rPr>
        <w:t>的基础上，完成了</w:t>
      </w:r>
      <w:r>
        <w:rPr>
          <w:rFonts w:hint="eastAsia" w:ascii="仿宋_GB2312" w:hAnsi="仿宋_GB2312" w:eastAsia="仿宋_GB2312" w:cs="仿宋_GB2312"/>
          <w:sz w:val="32"/>
          <w:szCs w:val="32"/>
        </w:rPr>
        <w:t>土地预审与规划选址批复，榆阳河、芹河工程规划许可已通过</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第二轮土地过渡性规划已</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报省自然资源和规划厅进行审批。</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“四河”日常管理水平稳步提升。</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val="en-US" w:eastAsia="zh-CN"/>
        </w:rPr>
        <w:t>开始，</w:t>
      </w:r>
      <w:r>
        <w:rPr>
          <w:rFonts w:hint="eastAsia" w:ascii="仿宋_GB2312" w:hAnsi="仿宋_GB2312" w:eastAsia="仿宋_GB2312" w:cs="仿宋_GB2312"/>
          <w:sz w:val="32"/>
          <w:szCs w:val="32"/>
        </w:rPr>
        <w:t>中心城区四河河道保洁管理实行</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科室专项负责制，建立科室总负责，组长、小队长分片负责的高效运作管理机制，收效良好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专人</w:t>
      </w:r>
      <w:r>
        <w:rPr>
          <w:rFonts w:hint="eastAsia" w:ascii="仿宋_GB2312" w:hAnsi="仿宋_GB2312" w:eastAsia="仿宋_GB2312" w:cs="仿宋_GB2312"/>
          <w:sz w:val="32"/>
          <w:szCs w:val="32"/>
        </w:rPr>
        <w:t>每日巡河，记录巡河日志以及保洁人员考勤，做到发现和处理问题同步进行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制止私抽河水20余次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利用春季爱国卫生运动，积极开展河道保洁大行动，共清运垃圾1000余方；积极配合做好国卫复审河道各项保洁管理工作，及时制止榆阳河生态治理用地范围内乱种乱建行为，清理河道防洪与人身安全隐患点1处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修复沙河水毁3处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全面排查各河道</w:t>
      </w:r>
      <w:r>
        <w:rPr>
          <w:rFonts w:hint="eastAsia" w:ascii="仿宋_GB2312" w:hAnsi="仿宋_GB2312" w:eastAsia="仿宋_GB2312" w:cs="仿宋_GB2312"/>
          <w:sz w:val="32"/>
          <w:szCs w:val="32"/>
        </w:rPr>
        <w:t>排水口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做到日常监测，发现问题及时</w:t>
      </w:r>
      <w:r>
        <w:rPr>
          <w:rFonts w:hint="eastAsia" w:ascii="仿宋_GB2312" w:hAnsi="仿宋_GB2312" w:eastAsia="仿宋_GB2312" w:cs="仿宋_GB2312"/>
          <w:sz w:val="32"/>
          <w:szCs w:val="32"/>
        </w:rPr>
        <w:t>与市政公</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服务中心对接，共计上报污水溢流信息50余次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排查河道围网与监控盲点，实现河道应围尽围，监控全面覆盖；</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多方式、多途径做好爱河、护河宣传，努力形成全社会爱护城市河道，爱护城市水体的良好氛围，确保中心城区河流及两岸水净景美。</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全力服务中心城区绿化建设。中心以创建国家园林城市为契机，以创造生态榆林、幸福榆林为目标，积极配合市局绿化科室做好中心城区绿化项目的前期报批工作，全力服务好中心城区绿化项目的建设与检查验收工作，为榆林中心城区绿化建设提供全方位技术服务。</w:t>
      </w:r>
      <w:r>
        <w:rPr>
          <w:rFonts w:hint="eastAsia" w:ascii="仿宋_GB2312" w:hAnsi="仿宋_GB2312" w:eastAsia="仿宋_GB2312" w:cs="仿宋_GB2312"/>
          <w:sz w:val="32"/>
          <w:szCs w:val="32"/>
          <w:lang w:val="en-US" w:eastAsia="zh-CN"/>
        </w:rPr>
        <w:t>共参与中心城区绿化项目前期手续办理3个，参与绿化项目管理服务9个。四是全市城镇生态调研工作顺利完成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全面贯彻落实习近平生态文明思想，加快推进全市城镇生态文明建设，根据局党组安排，中心成立三个调研组，分别对全市12个县（市、区）和榆林高新区、科创新城、榆神工业园区管委会生态建设情况进行了调研，深入了解全市城镇生态体系建设、园林绿化建设、生态修复和城市修补工程建设具体情况并形成调研报告，</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全市城镇生态文明</w:t>
      </w:r>
      <w:r>
        <w:rPr>
          <w:rFonts w:hint="eastAsia" w:ascii="仿宋_GB2312" w:hAnsi="仿宋_GB2312" w:eastAsia="仿宋_GB2312" w:cs="仿宋_GB2312"/>
          <w:sz w:val="32"/>
          <w:szCs w:val="32"/>
        </w:rPr>
        <w:t>建设提质增效提供决策咨询</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扎实做好迎接省十七运城市品质提升各项工作。为迎接陕西省十七届运动会明年在我市召开，按照市委、市政府安排部署，在省十七运城市品质提升领导小组办公室领导下，我中心及时挑起重担，全力做好项目前期的各项准备、对接工作，起草了《榆林市迎接省十七运城市品质提升工作方案》，结合赛事线路、文旅线路、迎宾线路进行实地考察、排查摸底，</w:t>
      </w:r>
      <w:r>
        <w:rPr>
          <w:rFonts w:hint="eastAsia" w:ascii="仿宋_GB2312" w:hAnsi="仿宋_GB2312" w:eastAsia="仿宋_GB2312" w:cs="仿宋_GB2312"/>
          <w:sz w:val="32"/>
          <w:szCs w:val="32"/>
          <w:lang w:val="en-US" w:eastAsia="zh-CN"/>
        </w:rPr>
        <w:t>制定提升改造方案</w:t>
      </w:r>
      <w:r>
        <w:rPr>
          <w:rFonts w:hint="eastAsia" w:ascii="仿宋_GB2312" w:hAnsi="仿宋_GB2312" w:eastAsia="仿宋_GB2312" w:cs="仿宋_GB2312"/>
          <w:sz w:val="32"/>
          <w:szCs w:val="32"/>
          <w:lang w:eastAsia="zh-CN"/>
        </w:rPr>
        <w:t>；成立榆林市迎十七运提升城市品质重点任务推进工作专班，</w:t>
      </w:r>
      <w:r>
        <w:rPr>
          <w:rFonts w:hint="eastAsia" w:ascii="仿宋_GB2312" w:hAnsi="仿宋_GB2312" w:eastAsia="仿宋_GB2312" w:cs="仿宋_GB2312"/>
          <w:sz w:val="32"/>
          <w:szCs w:val="32"/>
          <w:lang w:val="en-US" w:eastAsia="zh-CN"/>
        </w:rPr>
        <w:t>建立周调度、月推进工作机制；</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提升改造</w:t>
      </w:r>
      <w:r>
        <w:rPr>
          <w:rFonts w:hint="eastAsia" w:ascii="仿宋_GB2312" w:hAnsi="仿宋_GB2312" w:eastAsia="仿宋_GB2312" w:cs="仿宋_GB2312"/>
          <w:sz w:val="32"/>
          <w:szCs w:val="32"/>
          <w:lang w:eastAsia="zh-CN"/>
        </w:rPr>
        <w:t>项目进行任务分解，初步确定道路绿化美化提升改造、垃圾分类设施提升改造、城市道路广告牌匾及外墙里面美化、违停治理及现有停车场提升等涉及老城区、高新区和科创新城区域共计十三大类改造内容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根据市政府统一部署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整治提升工作</w:t>
      </w:r>
      <w:r>
        <w:rPr>
          <w:rFonts w:hint="eastAsia" w:ascii="仿宋_GB2312" w:hAnsi="仿宋_GB2312" w:eastAsia="仿宋_GB2312" w:cs="仿宋_GB2312"/>
          <w:sz w:val="32"/>
          <w:szCs w:val="32"/>
          <w:lang w:val="en-US" w:eastAsia="zh-CN"/>
        </w:rPr>
        <w:t>即将全面展开</w:t>
      </w:r>
      <w:r>
        <w:rPr>
          <w:rFonts w:hint="eastAsia" w:ascii="仿宋_GB2312" w:hAnsi="仿宋_GB2312" w:eastAsia="仿宋_GB2312" w:cs="仿宋_GB2312"/>
          <w:sz w:val="32"/>
          <w:szCs w:val="32"/>
        </w:rPr>
        <w:t>。</w:t>
      </w:r>
    </w:p>
    <w:p>
      <w:pPr>
        <w:spacing w:line="620" w:lineRule="exact"/>
        <w:ind w:firstLine="640"/>
        <w:rPr>
          <w:rFonts w:hint="eastAsia" w:ascii="仿宋_GB2312" w:hAnsi="仿宋" w:eastAsia="仿宋_GB2312" w:cs="仿宋"/>
          <w:sz w:val="32"/>
          <w:szCs w:val="40"/>
          <w:lang w:eastAsia="zh-CN"/>
        </w:rPr>
      </w:pPr>
      <w:r>
        <w:rPr>
          <w:rFonts w:hint="eastAsia" w:ascii="仿宋_GB2312" w:hAnsi="仿宋" w:eastAsia="仿宋_GB2312" w:cs="仿宋"/>
          <w:sz w:val="32"/>
          <w:szCs w:val="40"/>
          <w:lang w:eastAsia="zh-CN"/>
        </w:rPr>
        <w:t>发现的问题及原因：一是中心城区河道联动共管机制需进一步完善，偷倒垃圾、偷排污水现象时有发生。二是河道生态治理工程项目土地调规等前期工作推进缓慢，影响工程整体进度。三是河道管护经费不足，</w:t>
      </w:r>
      <w:r>
        <w:rPr>
          <w:rFonts w:hint="eastAsia" w:ascii="仿宋_GB2312" w:hAnsi="仿宋" w:eastAsia="仿宋_GB2312" w:cs="仿宋"/>
          <w:sz w:val="32"/>
          <w:szCs w:val="40"/>
          <w:lang w:val="en-US" w:eastAsia="zh-CN"/>
        </w:rPr>
        <w:t>保洁力量薄弱</w:t>
      </w:r>
      <w:r>
        <w:rPr>
          <w:rFonts w:hint="eastAsia" w:ascii="仿宋_GB2312" w:hAnsi="仿宋" w:eastAsia="仿宋_GB2312" w:cs="仿宋"/>
          <w:sz w:val="32"/>
          <w:szCs w:val="40"/>
          <w:lang w:eastAsia="zh-CN"/>
        </w:rPr>
        <w:t>，</w:t>
      </w:r>
      <w:r>
        <w:rPr>
          <w:rFonts w:hint="eastAsia" w:ascii="仿宋_GB2312" w:hAnsi="仿宋" w:eastAsia="仿宋_GB2312" w:cs="仿宋"/>
          <w:sz w:val="32"/>
          <w:szCs w:val="40"/>
          <w:lang w:val="en-US" w:eastAsia="zh-CN"/>
        </w:rPr>
        <w:t>河道保洁管理只能维持低层次、低水平</w:t>
      </w:r>
      <w:r>
        <w:rPr>
          <w:rFonts w:hint="eastAsia" w:ascii="仿宋_GB2312" w:hAnsi="仿宋" w:eastAsia="仿宋_GB2312" w:cs="仿宋"/>
          <w:sz w:val="32"/>
          <w:szCs w:val="40"/>
          <w:lang w:eastAsia="zh-CN"/>
        </w:rPr>
        <w:t>。四是干部作风不实，还存在学习不够自觉，办事不够严谨、担当意识不强、工作效率低下等问题。对于以上困难和问题，我们必须在今后的工作中认真研究、解决。</w:t>
      </w:r>
    </w:p>
    <w:p>
      <w:pPr>
        <w:keepNext w:val="0"/>
        <w:keepLines w:val="0"/>
        <w:pageBreakBefore w:val="0"/>
        <w:tabs>
          <w:tab w:val="left" w:pos="1701"/>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40"/>
        </w:rPr>
      </w:pPr>
      <w:r>
        <w:rPr>
          <w:rFonts w:hint="eastAsia" w:ascii="仿宋_GB2312" w:hAnsi="仿宋" w:eastAsia="仿宋_GB2312" w:cs="仿宋"/>
          <w:sz w:val="32"/>
          <w:szCs w:val="40"/>
        </w:rPr>
        <w:t>下一步改进措施：</w:t>
      </w:r>
      <w:bookmarkStart w:id="2" w:name="OLE_LINK3"/>
      <w:bookmarkStart w:id="3" w:name="OLE_LINK4"/>
      <w:r>
        <w:rPr>
          <w:rFonts w:hint="eastAsia" w:ascii="仿宋_GB2312" w:hAnsi="仿宋" w:eastAsia="仿宋_GB2312" w:cs="仿宋"/>
          <w:sz w:val="32"/>
          <w:szCs w:val="40"/>
        </w:rPr>
        <w:t>一是</w:t>
      </w:r>
      <w:r>
        <w:rPr>
          <w:rFonts w:hint="eastAsia" w:ascii="仿宋_GB2312" w:hAnsi="仿宋" w:eastAsia="仿宋_GB2312" w:cs="仿宋"/>
          <w:sz w:val="32"/>
          <w:szCs w:val="40"/>
          <w:lang w:val="en-US" w:eastAsia="zh-CN"/>
        </w:rPr>
        <w:t>按照市局安排，全面做好</w:t>
      </w:r>
      <w:r>
        <w:rPr>
          <w:rFonts w:hint="eastAsia" w:ascii="仿宋_GB2312" w:hAnsi="仿宋" w:eastAsia="仿宋_GB2312" w:cs="仿宋"/>
          <w:sz w:val="32"/>
          <w:szCs w:val="40"/>
        </w:rPr>
        <w:t>迎接省十七运</w:t>
      </w:r>
      <w:r>
        <w:rPr>
          <w:rFonts w:hint="eastAsia" w:ascii="仿宋_GB2312" w:hAnsi="仿宋" w:eastAsia="仿宋_GB2312" w:cs="仿宋"/>
          <w:sz w:val="32"/>
          <w:szCs w:val="40"/>
          <w:lang w:val="en-US" w:eastAsia="zh-CN"/>
        </w:rPr>
        <w:t>城市</w:t>
      </w:r>
      <w:r>
        <w:rPr>
          <w:rFonts w:hint="eastAsia" w:ascii="仿宋_GB2312" w:hAnsi="仿宋" w:eastAsia="仿宋_GB2312" w:cs="仿宋"/>
          <w:sz w:val="32"/>
          <w:szCs w:val="40"/>
        </w:rPr>
        <w:t>品质提升</w:t>
      </w:r>
      <w:r>
        <w:rPr>
          <w:rFonts w:hint="eastAsia" w:ascii="仿宋_GB2312" w:hAnsi="仿宋" w:eastAsia="仿宋_GB2312" w:cs="仿宋"/>
          <w:sz w:val="32"/>
          <w:szCs w:val="40"/>
          <w:lang w:val="en-US" w:eastAsia="zh-CN"/>
        </w:rPr>
        <w:t>领导小组办公室各项</w:t>
      </w:r>
      <w:r>
        <w:rPr>
          <w:rFonts w:hint="eastAsia" w:ascii="仿宋_GB2312" w:hAnsi="仿宋" w:eastAsia="仿宋_GB2312" w:cs="仿宋"/>
          <w:sz w:val="32"/>
          <w:szCs w:val="40"/>
        </w:rPr>
        <w:t>工作</w:t>
      </w:r>
      <w:r>
        <w:rPr>
          <w:rFonts w:hint="eastAsia" w:ascii="仿宋_GB2312" w:hAnsi="仿宋" w:eastAsia="仿宋_GB2312" w:cs="仿宋"/>
          <w:sz w:val="32"/>
          <w:szCs w:val="40"/>
          <w:lang w:eastAsia="zh-CN"/>
        </w:rPr>
        <w:t>，</w:t>
      </w:r>
      <w:r>
        <w:rPr>
          <w:rFonts w:hint="eastAsia" w:ascii="仿宋_GB2312" w:hAnsi="仿宋" w:eastAsia="仿宋_GB2312" w:cs="仿宋"/>
          <w:sz w:val="32"/>
          <w:szCs w:val="40"/>
          <w:lang w:val="en-US" w:eastAsia="zh-CN"/>
        </w:rPr>
        <w:t>协调提升改造工作强力推进，并取得成效</w:t>
      </w:r>
      <w:r>
        <w:rPr>
          <w:rFonts w:hint="eastAsia" w:ascii="仿宋_GB2312" w:hAnsi="仿宋" w:eastAsia="仿宋_GB2312" w:cs="仿宋"/>
          <w:sz w:val="32"/>
          <w:szCs w:val="40"/>
        </w:rPr>
        <w:t>。</w:t>
      </w:r>
      <w:r>
        <w:rPr>
          <w:rFonts w:hint="eastAsia" w:ascii="仿宋_GB2312" w:hAnsi="仿宋" w:eastAsia="仿宋_GB2312" w:cs="仿宋"/>
          <w:sz w:val="32"/>
          <w:szCs w:val="40"/>
          <w:lang w:val="en-US" w:eastAsia="zh-CN"/>
        </w:rPr>
        <w:t>二</w:t>
      </w:r>
      <w:r>
        <w:rPr>
          <w:rFonts w:hint="eastAsia" w:ascii="仿宋_GB2312" w:hAnsi="仿宋" w:eastAsia="仿宋_GB2312" w:cs="仿宋"/>
          <w:sz w:val="32"/>
          <w:szCs w:val="40"/>
        </w:rPr>
        <w:t>是</w:t>
      </w:r>
      <w:bookmarkEnd w:id="2"/>
      <w:bookmarkEnd w:id="3"/>
      <w:r>
        <w:rPr>
          <w:rFonts w:hint="eastAsia" w:ascii="仿宋_GB2312" w:hAnsi="仿宋" w:eastAsia="仿宋_GB2312" w:cs="仿宋"/>
          <w:sz w:val="32"/>
          <w:szCs w:val="40"/>
        </w:rPr>
        <w:t>继续做好中心城区“四河”日常维护与保洁工作。进一步完善河道联查共治机制，加强保洁管理与舆论宣传，倡导社会各界</w:t>
      </w:r>
      <w:r>
        <w:rPr>
          <w:rFonts w:hint="eastAsia" w:ascii="仿宋_GB2312" w:hAnsi="仿宋" w:eastAsia="仿宋_GB2312" w:cs="仿宋"/>
          <w:sz w:val="32"/>
          <w:szCs w:val="40"/>
          <w:lang w:val="en-US" w:eastAsia="zh-CN"/>
        </w:rPr>
        <w:t>支持、</w:t>
      </w:r>
      <w:r>
        <w:rPr>
          <w:rFonts w:hint="eastAsia" w:ascii="仿宋_GB2312" w:hAnsi="仿宋" w:eastAsia="仿宋_GB2312" w:cs="仿宋"/>
          <w:sz w:val="32"/>
          <w:szCs w:val="40"/>
        </w:rPr>
        <w:t>参与</w:t>
      </w:r>
      <w:r>
        <w:rPr>
          <w:rFonts w:hint="eastAsia" w:ascii="仿宋_GB2312" w:hAnsi="仿宋" w:eastAsia="仿宋_GB2312" w:cs="仿宋"/>
          <w:sz w:val="32"/>
          <w:szCs w:val="40"/>
          <w:lang w:val="en-US" w:eastAsia="zh-CN"/>
        </w:rPr>
        <w:t>河道保护</w:t>
      </w:r>
      <w:r>
        <w:rPr>
          <w:rFonts w:hint="eastAsia" w:ascii="仿宋_GB2312" w:hAnsi="仿宋" w:eastAsia="仿宋_GB2312" w:cs="仿宋"/>
          <w:sz w:val="32"/>
          <w:szCs w:val="40"/>
        </w:rPr>
        <w:t>，努力形成齐抓共管</w:t>
      </w:r>
      <w:r>
        <w:rPr>
          <w:rFonts w:hint="eastAsia" w:ascii="仿宋_GB2312" w:hAnsi="仿宋" w:eastAsia="仿宋_GB2312" w:cs="仿宋"/>
          <w:sz w:val="32"/>
          <w:szCs w:val="40"/>
          <w:lang w:val="en-US" w:eastAsia="zh-CN"/>
        </w:rPr>
        <w:t>河道</w:t>
      </w:r>
      <w:r>
        <w:rPr>
          <w:rFonts w:hint="eastAsia" w:ascii="仿宋_GB2312" w:hAnsi="仿宋" w:eastAsia="仿宋_GB2312" w:cs="仿宋"/>
          <w:sz w:val="32"/>
          <w:szCs w:val="40"/>
        </w:rPr>
        <w:t>的良好局面。</w:t>
      </w:r>
      <w:r>
        <w:rPr>
          <w:rFonts w:hint="eastAsia" w:ascii="仿宋_GB2312" w:hAnsi="仿宋" w:eastAsia="仿宋_GB2312" w:cs="仿宋"/>
          <w:sz w:val="32"/>
          <w:szCs w:val="40"/>
          <w:lang w:val="en-US" w:eastAsia="zh-CN"/>
        </w:rPr>
        <w:t>三</w:t>
      </w:r>
      <w:r>
        <w:rPr>
          <w:rFonts w:hint="eastAsia" w:ascii="仿宋_GB2312" w:hAnsi="仿宋" w:eastAsia="仿宋_GB2312" w:cs="仿宋"/>
          <w:sz w:val="32"/>
          <w:szCs w:val="40"/>
        </w:rPr>
        <w:t>是</w:t>
      </w:r>
      <w:r>
        <w:rPr>
          <w:rFonts w:hint="eastAsia" w:ascii="仿宋_GB2312" w:hAnsi="仿宋" w:eastAsia="仿宋_GB2312" w:cs="仿宋"/>
          <w:sz w:val="32"/>
          <w:szCs w:val="40"/>
          <w:lang w:val="en-US" w:eastAsia="zh-CN"/>
        </w:rPr>
        <w:t>加快规划手续办理进程</w:t>
      </w:r>
      <w:r>
        <w:rPr>
          <w:rFonts w:hint="eastAsia" w:ascii="仿宋_GB2312" w:hAnsi="仿宋" w:eastAsia="仿宋_GB2312" w:cs="仿宋"/>
          <w:sz w:val="32"/>
          <w:szCs w:val="40"/>
        </w:rPr>
        <w:t>，</w:t>
      </w:r>
      <w:r>
        <w:rPr>
          <w:rFonts w:hint="eastAsia" w:ascii="仿宋_GB2312" w:hAnsi="仿宋" w:eastAsia="仿宋_GB2312" w:cs="仿宋"/>
          <w:sz w:val="32"/>
          <w:szCs w:val="40"/>
          <w:lang w:val="en-US" w:eastAsia="zh-CN"/>
        </w:rPr>
        <w:t>确保2022年</w:t>
      </w:r>
      <w:r>
        <w:rPr>
          <w:rFonts w:hint="eastAsia" w:ascii="仿宋_GB2312" w:hAnsi="仿宋" w:eastAsia="仿宋_GB2312" w:cs="仿宋"/>
          <w:sz w:val="32"/>
          <w:szCs w:val="40"/>
        </w:rPr>
        <w:t>榆阳河、芹河生态保护治理工程开工</w:t>
      </w:r>
      <w:r>
        <w:rPr>
          <w:rFonts w:hint="eastAsia" w:ascii="仿宋_GB2312" w:hAnsi="仿宋" w:eastAsia="仿宋_GB2312" w:cs="仿宋"/>
          <w:sz w:val="32"/>
          <w:szCs w:val="40"/>
          <w:lang w:val="en-US" w:eastAsia="zh-CN"/>
        </w:rPr>
        <w:t>建设</w:t>
      </w:r>
      <w:r>
        <w:rPr>
          <w:rFonts w:hint="eastAsia" w:ascii="仿宋_GB2312" w:hAnsi="仿宋" w:eastAsia="仿宋_GB2312" w:cs="仿宋"/>
          <w:sz w:val="32"/>
          <w:szCs w:val="40"/>
        </w:rPr>
        <w:t>。</w:t>
      </w:r>
      <w:r>
        <w:rPr>
          <w:rFonts w:hint="eastAsia" w:ascii="仿宋_GB2312" w:hAnsi="仿宋" w:eastAsia="仿宋_GB2312" w:cs="仿宋"/>
          <w:sz w:val="32"/>
          <w:szCs w:val="40"/>
          <w:lang w:val="en-US" w:eastAsia="zh-CN"/>
        </w:rPr>
        <w:t>四</w:t>
      </w:r>
      <w:r>
        <w:rPr>
          <w:rFonts w:hint="eastAsia" w:ascii="仿宋_GB2312" w:hAnsi="仿宋" w:eastAsia="仿宋_GB2312" w:cs="仿宋"/>
          <w:sz w:val="32"/>
          <w:szCs w:val="40"/>
        </w:rPr>
        <w:t>是</w:t>
      </w:r>
      <w:r>
        <w:rPr>
          <w:rFonts w:hint="eastAsia" w:ascii="仿宋_GB2312" w:hAnsi="仿宋" w:eastAsia="仿宋_GB2312" w:cs="仿宋"/>
          <w:sz w:val="32"/>
          <w:szCs w:val="40"/>
          <w:lang w:val="en-US" w:eastAsia="zh-CN"/>
        </w:rPr>
        <w:t>发挥中心生态园林技术力量比较优势，</w:t>
      </w:r>
      <w:r>
        <w:rPr>
          <w:rFonts w:hint="eastAsia" w:ascii="仿宋_GB2312" w:hAnsi="仿宋" w:eastAsia="仿宋_GB2312" w:cs="仿宋"/>
          <w:sz w:val="32"/>
          <w:szCs w:val="40"/>
        </w:rPr>
        <w:t>积极配合做好</w:t>
      </w:r>
      <w:r>
        <w:rPr>
          <w:rFonts w:hint="eastAsia" w:ascii="仿宋_GB2312" w:hAnsi="仿宋" w:eastAsia="仿宋_GB2312" w:cs="仿宋"/>
          <w:sz w:val="32"/>
          <w:szCs w:val="40"/>
          <w:lang w:val="en-US" w:eastAsia="zh-CN"/>
        </w:rPr>
        <w:t>中心城区</w:t>
      </w:r>
      <w:r>
        <w:rPr>
          <w:rFonts w:hint="eastAsia" w:ascii="仿宋_GB2312" w:hAnsi="仿宋" w:eastAsia="仿宋_GB2312" w:cs="仿宋"/>
          <w:sz w:val="32"/>
          <w:szCs w:val="40"/>
        </w:rPr>
        <w:t>市住建局</w:t>
      </w:r>
      <w:r>
        <w:rPr>
          <w:rFonts w:hint="eastAsia" w:ascii="仿宋_GB2312" w:hAnsi="仿宋" w:eastAsia="仿宋_GB2312" w:cs="仿宋"/>
          <w:sz w:val="32"/>
          <w:szCs w:val="40"/>
          <w:lang w:val="en-US" w:eastAsia="zh-CN"/>
        </w:rPr>
        <w:t>承担的</w:t>
      </w:r>
      <w:r>
        <w:rPr>
          <w:rFonts w:hint="eastAsia" w:ascii="仿宋_GB2312" w:hAnsi="仿宋" w:eastAsia="仿宋_GB2312" w:cs="仿宋"/>
          <w:sz w:val="32"/>
          <w:szCs w:val="40"/>
        </w:rPr>
        <w:t>生态园林绿化工程的技术服务工作，加强对县市区城镇园林绿化工作指导。</w:t>
      </w:r>
    </w:p>
    <w:p>
      <w:pPr>
        <w:spacing w:line="620" w:lineRule="exact"/>
        <w:ind w:firstLine="640"/>
        <w:rPr>
          <w:rFonts w:hint="eastAsia" w:ascii="仿宋_GB2312" w:hAnsi="仿宋" w:eastAsia="仿宋_GB2312" w:cs="仿宋"/>
          <w:sz w:val="32"/>
          <w:szCs w:val="40"/>
        </w:rPr>
      </w:pPr>
    </w:p>
    <w:p>
      <w:pPr>
        <w:pStyle w:val="2"/>
        <w:rPr>
          <w:rFonts w:hint="eastAsia" w:ascii="仿宋_GB2312" w:hAnsi="仿宋" w:eastAsia="仿宋_GB2312" w:cs="仿宋"/>
          <w:sz w:val="32"/>
          <w:szCs w:val="40"/>
        </w:rPr>
      </w:pPr>
    </w:p>
    <w:p>
      <w:pPr>
        <w:rPr>
          <w:rFonts w:hint="eastAsia" w:ascii="仿宋_GB2312" w:hAnsi="仿宋" w:eastAsia="仿宋_GB2312" w:cs="仿宋"/>
          <w:sz w:val="32"/>
          <w:szCs w:val="40"/>
        </w:rPr>
      </w:pPr>
    </w:p>
    <w:p>
      <w:pPr>
        <w:pStyle w:val="2"/>
        <w:rPr>
          <w:rFonts w:hint="eastAsia" w:ascii="仿宋_GB2312" w:hAnsi="仿宋" w:eastAsia="仿宋_GB2312" w:cs="仿宋"/>
          <w:sz w:val="32"/>
          <w:szCs w:val="40"/>
        </w:rPr>
      </w:pPr>
    </w:p>
    <w:p>
      <w:pPr>
        <w:rPr>
          <w:rFonts w:hint="eastAsia" w:ascii="仿宋_GB2312" w:hAnsi="仿宋" w:eastAsia="仿宋_GB2312" w:cs="仿宋"/>
          <w:sz w:val="32"/>
          <w:szCs w:val="40"/>
        </w:rPr>
      </w:pPr>
    </w:p>
    <w:p>
      <w:pPr>
        <w:pStyle w:val="2"/>
        <w:rPr>
          <w:rFonts w:hint="eastAsia" w:ascii="仿宋_GB2312" w:hAnsi="仿宋" w:eastAsia="仿宋_GB2312" w:cs="仿宋"/>
          <w:sz w:val="32"/>
          <w:szCs w:val="40"/>
        </w:rPr>
      </w:pPr>
    </w:p>
    <w:p>
      <w:pPr>
        <w:rPr>
          <w:rFonts w:hint="eastAsia" w:ascii="仿宋_GB2312" w:hAnsi="仿宋" w:eastAsia="仿宋_GB2312" w:cs="仿宋"/>
          <w:sz w:val="32"/>
          <w:szCs w:val="40"/>
        </w:rPr>
      </w:pPr>
    </w:p>
    <w:p>
      <w:pPr>
        <w:pStyle w:val="2"/>
        <w:rPr>
          <w:rFonts w:hint="eastAsia" w:ascii="仿宋_GB2312" w:hAnsi="仿宋" w:eastAsia="仿宋_GB2312" w:cs="仿宋"/>
          <w:sz w:val="32"/>
          <w:szCs w:val="40"/>
        </w:rPr>
      </w:pPr>
    </w:p>
    <w:p>
      <w:pPr>
        <w:rPr>
          <w:rFonts w:hint="eastAsia" w:ascii="仿宋_GB2312" w:hAnsi="仿宋" w:eastAsia="仿宋_GB2312" w:cs="仿宋"/>
          <w:sz w:val="32"/>
          <w:szCs w:val="40"/>
        </w:rPr>
      </w:pPr>
    </w:p>
    <w:p>
      <w:pPr>
        <w:pStyle w:val="2"/>
        <w:rPr>
          <w:rFonts w:hint="eastAsia" w:ascii="仿宋_GB2312" w:hAnsi="仿宋" w:eastAsia="仿宋_GB2312" w:cs="仿宋"/>
          <w:sz w:val="32"/>
          <w:szCs w:val="40"/>
        </w:rPr>
      </w:pPr>
    </w:p>
    <w:p>
      <w:pPr>
        <w:rPr>
          <w:rFonts w:hint="eastAsia" w:ascii="仿宋_GB2312" w:hAnsi="仿宋" w:eastAsia="仿宋_GB2312" w:cs="仿宋"/>
          <w:sz w:val="32"/>
          <w:szCs w:val="40"/>
        </w:rPr>
      </w:pPr>
    </w:p>
    <w:p>
      <w:pPr>
        <w:pStyle w:val="2"/>
        <w:rPr>
          <w:rFonts w:hint="eastAsia" w:ascii="仿宋_GB2312" w:hAnsi="仿宋" w:eastAsia="仿宋_GB2312" w:cs="仿宋"/>
          <w:sz w:val="32"/>
          <w:szCs w:val="40"/>
        </w:rPr>
      </w:pPr>
    </w:p>
    <w:p>
      <w:pPr>
        <w:rPr>
          <w:rFonts w:hint="eastAsia" w:ascii="仿宋_GB2312" w:hAnsi="仿宋" w:eastAsia="仿宋_GB2312" w:cs="仿宋"/>
          <w:sz w:val="32"/>
          <w:szCs w:val="40"/>
        </w:rPr>
      </w:pPr>
    </w:p>
    <w:p>
      <w:pPr>
        <w:pStyle w:val="2"/>
        <w:rPr>
          <w:rFonts w:hint="eastAsia" w:ascii="仿宋_GB2312" w:hAnsi="仿宋" w:eastAsia="仿宋_GB2312" w:cs="仿宋"/>
          <w:sz w:val="32"/>
          <w:szCs w:val="40"/>
        </w:rPr>
      </w:pPr>
    </w:p>
    <w:p>
      <w:pPr>
        <w:rPr>
          <w:rFonts w:hint="eastAsia"/>
        </w:rPr>
      </w:pPr>
    </w:p>
    <w:p>
      <w:pPr>
        <w:pStyle w:val="2"/>
        <w:rPr>
          <w:rFonts w:hint="eastAsia"/>
        </w:rPr>
      </w:pPr>
    </w:p>
    <w:tbl>
      <w:tblPr>
        <w:tblStyle w:val="8"/>
        <w:tblpPr w:leftFromText="180" w:rightFromText="180" w:vertAnchor="text" w:horzAnchor="page" w:tblpXSpec="center" w:tblpY="581"/>
        <w:tblOverlap w:val="never"/>
        <w:tblW w:w="9263" w:type="dxa"/>
        <w:tblInd w:w="0" w:type="dxa"/>
        <w:tblLayout w:type="fixed"/>
        <w:tblCellMar>
          <w:top w:w="0" w:type="dxa"/>
          <w:left w:w="108" w:type="dxa"/>
          <w:bottom w:w="0" w:type="dxa"/>
          <w:right w:w="108" w:type="dxa"/>
        </w:tblCellMar>
      </w:tblPr>
      <w:tblGrid>
        <w:gridCol w:w="812"/>
        <w:gridCol w:w="808"/>
        <w:gridCol w:w="980"/>
        <w:gridCol w:w="2338"/>
        <w:gridCol w:w="2431"/>
        <w:gridCol w:w="560"/>
        <w:gridCol w:w="466"/>
        <w:gridCol w:w="868"/>
      </w:tblGrid>
      <w:tr>
        <w:tblPrEx>
          <w:tblCellMar>
            <w:top w:w="0" w:type="dxa"/>
            <w:left w:w="108" w:type="dxa"/>
            <w:bottom w:w="0" w:type="dxa"/>
            <w:right w:w="108" w:type="dxa"/>
          </w:tblCellMar>
        </w:tblPrEx>
        <w:trPr>
          <w:trHeight w:val="420" w:hRule="atLeast"/>
        </w:trPr>
        <w:tc>
          <w:tcPr>
            <w:tcW w:w="9263" w:type="dxa"/>
            <w:gridSpan w:val="8"/>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4"/>
                <w:szCs w:val="34"/>
              </w:rPr>
            </w:pPr>
            <w:r>
              <w:rPr>
                <w:rFonts w:ascii="方正小标宋简体" w:hAnsi="方正小标宋简体" w:eastAsia="方正小标宋简体" w:cs="方正小标宋简体"/>
                <w:color w:val="000000"/>
                <w:kern w:val="0"/>
                <w:sz w:val="34"/>
                <w:szCs w:val="34"/>
                <w:lang w:bidi="ar"/>
              </w:rPr>
              <w:t>整体支出绩效自评表</w:t>
            </w:r>
          </w:p>
        </w:tc>
      </w:tr>
      <w:tr>
        <w:tblPrEx>
          <w:tblCellMar>
            <w:top w:w="0" w:type="dxa"/>
            <w:left w:w="108" w:type="dxa"/>
            <w:bottom w:w="0" w:type="dxa"/>
            <w:right w:w="108" w:type="dxa"/>
          </w:tblCellMar>
        </w:tblPrEx>
        <w:trPr>
          <w:trHeight w:val="319" w:hRule="atLeast"/>
        </w:trPr>
        <w:tc>
          <w:tcPr>
            <w:tcW w:w="9263"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（2021年度）</w:t>
            </w:r>
          </w:p>
        </w:tc>
      </w:tr>
      <w:tr>
        <w:tblPrEx>
          <w:tblCellMar>
            <w:top w:w="0" w:type="dxa"/>
            <w:left w:w="108" w:type="dxa"/>
            <w:bottom w:w="0" w:type="dxa"/>
            <w:right w:w="108" w:type="dxa"/>
          </w:tblCellMar>
        </w:tblPrEx>
        <w:trPr>
          <w:trHeight w:val="9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评分标准</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指标解释</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自评得分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扣分原因和其他说明</w:t>
            </w:r>
          </w:p>
        </w:tc>
      </w:tr>
      <w:tr>
        <w:tblPrEx>
          <w:tblCellMar>
            <w:top w:w="0" w:type="dxa"/>
            <w:left w:w="108" w:type="dxa"/>
            <w:bottom w:w="0" w:type="dxa"/>
            <w:right w:w="108" w:type="dxa"/>
          </w:tblCellMar>
        </w:tblPrEx>
        <w:trPr>
          <w:trHeight w:val="90"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80" w:rightChars="-38"/>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投 入</w:t>
            </w:r>
          </w:p>
          <w:p>
            <w:pPr>
              <w:widowControl/>
              <w:ind w:right="-80" w:rightChars="-38"/>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(15分)</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Chars="-38" w:right="-80" w:rightChars="-38" w:hanging="80" w:hangingChars="4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w:t>
            </w:r>
          </w:p>
          <w:p>
            <w:pPr>
              <w:widowControl/>
              <w:ind w:left="-108" w:leftChars="-65" w:right="-107" w:rightChars="-51" w:hanging="28" w:hangingChars="14"/>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配置</w:t>
            </w:r>
          </w:p>
          <w:p>
            <w:pPr>
              <w:widowControl/>
              <w:ind w:left="-108" w:leftChars="-65" w:right="-107" w:rightChars="-51" w:hanging="28" w:hangingChars="14"/>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财政供养人员</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控制率</w:t>
            </w:r>
          </w:p>
        </w:tc>
        <w:tc>
          <w:tcPr>
            <w:tcW w:w="233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以100%为标准。在职人员控制率≤100%，计5分；每超过一个百分点扣0.5分，扣完为止。</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在职人员控制率=（在职人员数/编制数）×100%，在职人员数：</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（单位）实际在职人数，以财政</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确定的</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决算编制口径为准。编制数：机构编制</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核定批复的</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（单位）的人员编制数。</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1498"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“三公经费”变动率</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“三公经费”变动率≤0，计5分；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“三公经费”＞0分，每超过一个百分点扣0.5分，扣完为止。</w:t>
            </w:r>
          </w:p>
        </w:tc>
        <w:tc>
          <w:tcPr>
            <w:tcW w:w="243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“三公经费”变动率=[（本年度“三公经费”总额-上年度“三公经费”总额）/上年度“三公经费”总额]×100%。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2559"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重点支出</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安排率</w:t>
            </w:r>
          </w:p>
        </w:tc>
        <w:tc>
          <w:tcPr>
            <w:tcW w:w="23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重点支出安排率≥90%，计5分；80%（含）-90%，计4分；70%（含）-80%，计3分；60%（含）-70%，计2分；低于60%不得分。重点支出安排率=（重点项目支出/项目总支出）×100%。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重点项目支出：单位职能工作、《政府工作报告》目标任务、省市重点工程和重大项目建设等。项目总支出：</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（单位）年度预算安排的项目支出总额。</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2177" w:hRule="atLeast"/>
        </w:trPr>
        <w:tc>
          <w:tcPr>
            <w:tcW w:w="812" w:type="dxa"/>
            <w:vMerge w:val="restart"/>
            <w:tcBorders>
              <w:top w:val="single" w:color="000000" w:sz="4" w:space="0"/>
              <w:left w:val="single" w:color="000000" w:sz="4" w:space="0"/>
              <w:right w:val="single" w:color="000000" w:sz="4" w:space="0"/>
            </w:tcBorders>
            <w:shd w:val="clear" w:color="auto" w:fill="auto"/>
            <w:vAlign w:val="center"/>
          </w:tcPr>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cs="宋体"/>
                <w:color w:val="000000"/>
                <w:kern w:val="0"/>
                <w:sz w:val="20"/>
                <w:szCs w:val="20"/>
                <w:lang w:bidi="ar"/>
              </w:rPr>
            </w:pPr>
          </w:p>
          <w:p>
            <w:pPr>
              <w:widowControl/>
              <w:ind w:leftChars="-60" w:right="-103" w:rightChars="-49" w:hanging="126" w:hangingChars="63"/>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过 程</w:t>
            </w:r>
          </w:p>
          <w:p>
            <w:pPr>
              <w:widowControl/>
              <w:ind w:leftChars="-60" w:right="-103" w:rightChars="-49" w:hanging="126" w:hangingChars="63"/>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(40分)</w:t>
            </w: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jc w:val="center"/>
              <w:textAlignment w:val="center"/>
              <w:rPr>
                <w:rFonts w:hint="eastAsia" w:ascii="宋体" w:hAnsi="宋体" w:cs="宋体"/>
                <w:color w:val="000000"/>
                <w:kern w:val="0"/>
                <w:sz w:val="20"/>
                <w:szCs w:val="20"/>
                <w:lang w:bidi="ar"/>
              </w:rPr>
            </w:pPr>
          </w:p>
          <w:p>
            <w:pPr>
              <w:jc w:val="center"/>
              <w:textAlignment w:val="center"/>
              <w:rPr>
                <w:rFonts w:hint="eastAsia" w:ascii="宋体" w:hAnsi="宋体" w:cs="宋体"/>
                <w:color w:val="000000"/>
                <w:kern w:val="0"/>
                <w:sz w:val="20"/>
                <w:szCs w:val="20"/>
                <w:lang w:bidi="ar"/>
              </w:rPr>
            </w:pPr>
          </w:p>
          <w:p>
            <w:pPr>
              <w:jc w:val="center"/>
              <w:textAlignment w:val="center"/>
              <w:rPr>
                <w:rFonts w:hint="eastAsia" w:ascii="宋体" w:hAnsi="宋体" w:cs="宋体"/>
                <w:color w:val="000000"/>
                <w:kern w:val="0"/>
                <w:sz w:val="20"/>
                <w:szCs w:val="20"/>
                <w:lang w:bidi="ar"/>
              </w:rPr>
            </w:pPr>
          </w:p>
          <w:p>
            <w:pPr>
              <w:jc w:val="center"/>
              <w:textAlignment w:val="center"/>
              <w:rPr>
                <w:rFonts w:hint="eastAsia" w:ascii="宋体" w:hAnsi="宋体" w:cs="宋体"/>
                <w:color w:val="000000"/>
                <w:kern w:val="0"/>
                <w:sz w:val="20"/>
                <w:szCs w:val="20"/>
                <w:lang w:bidi="ar"/>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p>
          <w:p>
            <w:pPr>
              <w:jc w:val="center"/>
              <w:textAlignment w:val="center"/>
              <w:rPr>
                <w:rFonts w:hint="eastAsia" w:ascii="宋体" w:hAnsi="宋体" w:cs="宋体"/>
                <w:color w:val="000000"/>
                <w:sz w:val="20"/>
                <w:szCs w:val="20"/>
              </w:rPr>
            </w:pPr>
            <w:r>
              <w:rPr>
                <w:rFonts w:hint="eastAsia" w:ascii="宋体" w:hAnsi="宋体" w:cs="宋体"/>
                <w:color w:val="000000"/>
                <w:sz w:val="20"/>
                <w:szCs w:val="20"/>
              </w:rPr>
              <w:t>过</w:t>
            </w:r>
          </w:p>
          <w:p>
            <w:pPr>
              <w:jc w:val="center"/>
              <w:textAlignment w:val="center"/>
              <w:rPr>
                <w:rFonts w:hint="eastAsia" w:ascii="宋体" w:hAnsi="宋体" w:cs="宋体"/>
                <w:color w:val="000000"/>
                <w:sz w:val="20"/>
                <w:szCs w:val="20"/>
              </w:rPr>
            </w:pPr>
          </w:p>
          <w:p>
            <w:pPr>
              <w:jc w:val="center"/>
              <w:textAlignment w:val="center"/>
              <w:rPr>
                <w:rFonts w:ascii="宋体" w:hAnsi="宋体" w:cs="宋体"/>
                <w:color w:val="000000"/>
                <w:sz w:val="20"/>
                <w:szCs w:val="20"/>
              </w:rPr>
            </w:pPr>
            <w:r>
              <w:rPr>
                <w:rFonts w:hint="eastAsia" w:ascii="宋体" w:hAnsi="宋体" w:cs="宋体"/>
                <w:color w:val="000000"/>
                <w:sz w:val="20"/>
                <w:szCs w:val="20"/>
              </w:rPr>
              <w:t>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92" w:rightChars="-44"/>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w:t>
            </w:r>
          </w:p>
          <w:p>
            <w:pPr>
              <w:widowControl/>
              <w:ind w:left="-126" w:leftChars="-60" w:right="-92" w:rightChars="-44" w:firstLine="28" w:firstLineChars="14"/>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执行</w:t>
            </w:r>
          </w:p>
          <w:p>
            <w:pPr>
              <w:widowControl/>
              <w:ind w:left="-126" w:leftChars="-60" w:right="-92" w:rightChars="-44" w:firstLine="28" w:firstLineChars="14"/>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预算</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调整率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预算调整率=0，计3分；0-10%（含），计2分；10-20%(含)，计1分；20-30%（含），计0.5分；大于30%不得分。预算调整率=（预算调整数/预算数）×100%。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预算调整数：</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（单位）在本年度内涉及预算的追加、追减或结构调整的资金总和（因落实国家政策，发生不可抗力、上级</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或本级党委政府临时交办而产生的调整除外）。</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300" w:hRule="atLeast"/>
        </w:trPr>
        <w:tc>
          <w:tcPr>
            <w:tcW w:w="812" w:type="dxa"/>
            <w:vMerge w:val="continue"/>
            <w:tcBorders>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支付</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进度</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春节前下达全部专项资金的50%；6月底前所有专项资金指标全部下达完。每出现一个专项未按进度完成资金下达扣0.5分，扣完为止。</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按照相关规定，及时下达。</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80" w:hRule="atLeast"/>
        </w:trPr>
        <w:tc>
          <w:tcPr>
            <w:tcW w:w="812" w:type="dxa"/>
            <w:vMerge w:val="continue"/>
            <w:tcBorders>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资金</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结余</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无结余，得3分；有结余，但不超过上年结转，得2分；结余超过上年结转，不得分。</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按照相关规定，足额下达。</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135" w:hRule="atLeast"/>
        </w:trPr>
        <w:tc>
          <w:tcPr>
            <w:tcW w:w="812" w:type="dxa"/>
            <w:vMerge w:val="continue"/>
            <w:tcBorders>
              <w:left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“三公经费”</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以100%为标准。三公经费控制率≤100%，计6分；每超过一个百分点扣1分，扣完为止。</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“三公经费”控制率-（“三公经费”实际支出数/“三公经费”预算安排数）×100%。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080" w:hRule="atLeast"/>
        </w:trPr>
        <w:tc>
          <w:tcPr>
            <w:tcW w:w="81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80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hint="eastAsia" w:ascii="宋体" w:hAnsi="宋体" w:cs="宋体"/>
                <w:color w:val="000000"/>
                <w:kern w:val="0"/>
                <w:sz w:val="20"/>
                <w:szCs w:val="20"/>
                <w:lang w:bidi="ar"/>
              </w:rPr>
            </w:pP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管理</w:t>
            </w: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(15分)</w:t>
            </w: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ind w:left="-84" w:leftChars="-40" w:right="-61" w:rightChars="-29" w:firstLine="14" w:firstLineChars="7"/>
              <w:jc w:val="center"/>
              <w:textAlignment w:val="center"/>
              <w:rPr>
                <w:rFonts w:hint="eastAsia" w:ascii="宋体" w:hAnsi="宋体" w:cs="宋体"/>
                <w:color w:val="000000"/>
                <w:kern w:val="0"/>
                <w:sz w:val="20"/>
                <w:szCs w:val="20"/>
                <w:lang w:bidi="ar"/>
              </w:rPr>
            </w:pP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预算</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管理</w:t>
            </w:r>
          </w:p>
          <w:p>
            <w:pPr>
              <w:widowControl/>
              <w:ind w:left="-84" w:leftChars="-40" w:right="-61" w:rightChars="-29" w:firstLine="14" w:firstLineChars="7"/>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管理</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制度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健全性</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①已制定或具有预算资金管理办法，内部财务管理制度、会计核算制度等管理制度，1分；</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②相关管理制度合法、合规、完整，1分；</w:t>
            </w:r>
          </w:p>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③相关管理制度得到有效执行，1分。</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按照相关文件要求，建立健全管理制度。严格执行相关制度。</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380" w:hRule="atLeast"/>
        </w:trPr>
        <w:tc>
          <w:tcPr>
            <w:tcW w:w="812"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资金</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使用</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合规性</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①支出符合国家财经法规和财务管理制度规定以及有关专项资金管理办法的规定；</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②资金拨付有完整的审批程序和手续；</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③项目支出按规定经过评估论证；</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④支出符合</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预算批复的用途；</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⑤资金使用无截留、挤占、挪用、虚列支出等情况。</w:t>
            </w:r>
          </w:p>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以上情况每出现一例不符合要求的扣1分，扣完为止。</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（单位）使用预算资金是否符合相关的预算财务管理制度的规定，用以反映和考核</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（单位）预算资金的规范运行情况。</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4" w:hRule="atLeast"/>
        </w:trPr>
        <w:tc>
          <w:tcPr>
            <w:tcW w:w="812"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预决算信息公开性和完善性</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①按规定内容公开预决算信息，1分；</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②按规定时限公开预决算信息，0.5分；</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③基础数据信息和会计信息资料真实，0.5分；</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④基础数据信息和会计信息资料完整，0.5分；</w:t>
            </w:r>
          </w:p>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⑤基础数据信息和汇集信息资料准确，0.5分。                                            </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预决算信息是指与</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 xml:space="preserve">预算、执行、决算、监督、绩效等管理相关的信息。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820" w:hRule="atLeast"/>
        </w:trPr>
        <w:tc>
          <w:tcPr>
            <w:tcW w:w="812"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政府</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采购</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政府采购执行率等于100%的，得3分；</w:t>
            </w:r>
          </w:p>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每减少一个百分点，扣0.2分，扣完为止。</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政府采购执行率=（实际政府采购预算项目个数/政府采购预算项目个数）×100%。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政府采购项目中非预算内安排的项目除外。</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080" w:hRule="atLeast"/>
        </w:trPr>
        <w:tc>
          <w:tcPr>
            <w:tcW w:w="81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公务卡刷卡率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公务卡刷卡率达50％以上的，得3分。</w:t>
            </w:r>
          </w:p>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每减少一个百分点，扣0.2分，扣完为止。</w:t>
            </w:r>
          </w:p>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公务卡刷卡率=公务消费刷卡支出/授权支付*100%。                                            </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（单位）是否按照《榆林市市级预算单位公务卡管理暂行办法》、《关于进一步规范全市财政资金支付行为的规定》加强公务卡的使用和管理。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个别工作人员因个人原因无法办理公务卡</w:t>
            </w:r>
          </w:p>
        </w:tc>
      </w:tr>
      <w:tr>
        <w:tblPrEx>
          <w:tblCellMar>
            <w:top w:w="0" w:type="dxa"/>
            <w:left w:w="108" w:type="dxa"/>
            <w:bottom w:w="0" w:type="dxa"/>
            <w:right w:w="108" w:type="dxa"/>
          </w:tblCellMar>
        </w:tblPrEx>
        <w:trPr>
          <w:trHeight w:val="2340"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过  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资产</w:t>
            </w:r>
          </w:p>
          <w:p>
            <w:pPr>
              <w:widowControl/>
              <w:ind w:left="-83" w:leftChars="-46" w:right="-76" w:rightChars="-36" w:hanging="14" w:hangingChars="7"/>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管理</w:t>
            </w:r>
          </w:p>
          <w:p>
            <w:pPr>
              <w:widowControl/>
              <w:ind w:left="-83" w:leftChars="-46" w:right="-76" w:rightChars="-36" w:hanging="14" w:hangingChars="7"/>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管理</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制度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健全性</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①已制定或具有资产管理制度，且相关资产管理制度合法、合规、完整，2分；</w:t>
            </w:r>
          </w:p>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②相关资产管理制度得到有效执行，1分。                                           </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（单位）为加强资产管理，规范资产管理行为而制定的管理制度是否健全完整、用以反映和考核</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（单位）资产管理制度对完成主要职责或促进社会发展的保障情况。</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资产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管理</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安全性</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①资产保存完整；②资产配置合理；</w:t>
            </w:r>
          </w:p>
          <w:p>
            <w:pPr>
              <w:widowControl/>
              <w:spacing w:line="28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③资产处置规范； ④资产账务管理合规，帐实相符；⑤资产有偿使用及处置收入及时足额上缴；以上情况每出现一例不符合有关要求的扣1分，扣完为止。</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（单位）的资产是否保存完整，使用合规、配置合理、处置规范、收入及时足额上缴，用以反映和考核</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（单位）资产安全运行情况</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04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固定资产利用率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每低于100%一个百分点扣0.1分，扣完为止。</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固定资产利用率=（实际在用固定资产总额/所有固定资产总额）×100%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836"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97" w:leftChars="-46" w:right="-118" w:rightChars="-56" w:firstLine="28" w:firstLineChars="14"/>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产出   （25分）</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 w:leftChars="-46" w:right="-92" w:rightChars="-44" w:hanging="98" w:hangingChars="49"/>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职责</w:t>
            </w:r>
          </w:p>
          <w:p>
            <w:pPr>
              <w:widowControl/>
              <w:ind w:left="1" w:leftChars="-46" w:right="-80" w:rightChars="-38" w:hanging="98" w:hangingChars="49"/>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履行</w:t>
            </w:r>
          </w:p>
          <w:p>
            <w:pPr>
              <w:widowControl/>
              <w:ind w:left="1" w:leftChars="-46" w:hanging="98" w:hangingChars="49"/>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《政府工作报告》目标任务完成情况</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90%（含）以上计8分；</w:t>
            </w:r>
          </w:p>
          <w:p>
            <w:pPr>
              <w:widowControl/>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75%（含）-90%，计6分；</w:t>
            </w:r>
          </w:p>
          <w:p>
            <w:pPr>
              <w:widowControl/>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60%（含）-75%，计4分；</w:t>
            </w:r>
          </w:p>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低于60%计0分。</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年初住建局下达的2021年度目标责任书下达的年度目标任务对照完成情况</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10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省市重点工程和重大项目建设完成情况</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90%（含）以上计7分；</w:t>
            </w:r>
          </w:p>
          <w:p>
            <w:pPr>
              <w:jc w:val="lef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75%（含）-90%，计5分；</w:t>
            </w:r>
          </w:p>
          <w:p>
            <w:pPr>
              <w:jc w:val="lef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60%（含）-75%，计3分；</w:t>
            </w:r>
          </w:p>
          <w:p>
            <w:pPr>
              <w:jc w:val="left"/>
              <w:rPr>
                <w:rFonts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rPr>
              <w:t>低于60%计0分。</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年初住建局下达的2021年度目标责任书下达的年度目标任务对照完成情况</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7</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0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单位职能工作</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参与拟订全市城镇、生态园林建设计划和规划编制、中心城区园林绿化、河道开发建设中长期规划和年度计划并组织实施;提出全市城镇生态园林工作计划的意见建议，并提供服务保障。</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val="en-US" w:eastAsia="zh-CN" w:bidi="ar"/>
              </w:rPr>
              <w:t>是否</w:t>
            </w:r>
            <w:r>
              <w:rPr>
                <w:rFonts w:hint="eastAsia" w:ascii="宋体" w:hAnsi="宋体" w:cs="宋体"/>
                <w:color w:val="000000"/>
                <w:kern w:val="0"/>
                <w:sz w:val="20"/>
                <w:szCs w:val="20"/>
                <w:highlight w:val="none"/>
                <w:lang w:bidi="ar"/>
              </w:rPr>
              <w:t>参与拟订全市城镇、生态园林建设计划和规划编制、中心城区园林绿化、河道开发建设中长期规划和年度计划并组织实施;</w:t>
            </w:r>
            <w:r>
              <w:rPr>
                <w:rFonts w:hint="eastAsia" w:ascii="宋体" w:hAnsi="宋体" w:cs="宋体"/>
                <w:color w:val="000000"/>
                <w:kern w:val="0"/>
                <w:sz w:val="20"/>
                <w:szCs w:val="20"/>
                <w:highlight w:val="none"/>
                <w:lang w:val="en-US" w:eastAsia="zh-CN" w:bidi="ar"/>
              </w:rPr>
              <w:t>是否</w:t>
            </w:r>
            <w:r>
              <w:rPr>
                <w:rFonts w:hint="eastAsia" w:ascii="宋体" w:hAnsi="宋体" w:cs="宋体"/>
                <w:color w:val="000000"/>
                <w:kern w:val="0"/>
                <w:sz w:val="20"/>
                <w:szCs w:val="20"/>
                <w:highlight w:val="none"/>
                <w:lang w:bidi="ar"/>
              </w:rPr>
              <w:t>提出全市城镇生态园林工作计划的意见建议，并提供服务保障。</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15</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27"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3750"/>
              </w:tabs>
              <w:ind w:left="-126" w:leftChars="-60" w:right="-111" w:rightChars="-53"/>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 果</w:t>
            </w:r>
          </w:p>
          <w:p>
            <w:pPr>
              <w:widowControl/>
              <w:tabs>
                <w:tab w:val="left" w:pos="13750"/>
              </w:tabs>
              <w:ind w:left="-126" w:leftChars="-60" w:right="-111" w:rightChars="-53"/>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(20分)</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84" w:leftChars="-40" w:right="-92" w:rightChars="-44"/>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履职</w:t>
            </w:r>
          </w:p>
          <w:p>
            <w:pPr>
              <w:widowControl/>
              <w:ind w:left="-84" w:leftChars="-40" w:right="-80" w:rightChars="-38"/>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效益</w:t>
            </w:r>
          </w:p>
          <w:p>
            <w:pPr>
              <w:widowControl/>
              <w:ind w:left="-84" w:leftChars="-40" w:right="-80" w:rightChars="-38"/>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经济</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投资环境</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ascii="宋体" w:hAnsi="宋体" w:cs="宋体"/>
                <w:color w:val="000000"/>
                <w:sz w:val="20"/>
                <w:szCs w:val="20"/>
              </w:rPr>
            </w:pPr>
            <w:r>
              <w:rPr>
                <w:rFonts w:ascii="宋体" w:hAnsi="宋体" w:cs="宋体"/>
                <w:color w:val="000000"/>
                <w:sz w:val="20"/>
                <w:szCs w:val="20"/>
              </w:rPr>
              <w:t>是否有效促进</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83"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社会</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kern w:val="2"/>
                <w:sz w:val="20"/>
                <w:szCs w:val="20"/>
                <w:lang w:val="en-US" w:eastAsia="zh-CN" w:bidi="ar-SA"/>
              </w:rPr>
            </w:pPr>
            <w:r>
              <w:rPr>
                <w:rFonts w:hint="default" w:ascii="宋体" w:hAnsi="宋体" w:cs="宋体"/>
                <w:color w:val="000000"/>
                <w:sz w:val="20"/>
                <w:szCs w:val="20"/>
                <w:lang w:val="en-US" w:eastAsia="zh-CN"/>
              </w:rPr>
              <w:t>消除河道安全隐患，改善四河河道环境。</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是</w:t>
            </w:r>
            <w:r>
              <w:rPr>
                <w:rFonts w:ascii="宋体" w:hAnsi="宋体" w:cs="宋体"/>
                <w:color w:val="000000"/>
                <w:sz w:val="20"/>
                <w:szCs w:val="20"/>
              </w:rPr>
              <w:t>否明显改善</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8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生态</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效益</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left"/>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四河日常管护，改善生态环境。</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0"/>
                <w:szCs w:val="20"/>
                <w:lang w:val="en-US" w:eastAsia="zh-CN" w:bidi="ar-SA"/>
              </w:rPr>
            </w:pPr>
            <w:r>
              <w:rPr>
                <w:rFonts w:ascii="宋体" w:hAnsi="宋体" w:cs="宋体"/>
                <w:color w:val="000000"/>
                <w:sz w:val="20"/>
                <w:szCs w:val="20"/>
              </w:rPr>
              <w:t>是否明显改善</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5</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446"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社会公众或服务对象满意度</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95%（含）以上计5分；</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85%（含）-95%，计3分；</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75%（含）-85%，计1分；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低于75%计0分。</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社会公众或服务对象是指</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（单位）履行职责而影响到的</w:t>
            </w:r>
            <w:r>
              <w:rPr>
                <w:rFonts w:hint="eastAsia" w:ascii="宋体" w:hAnsi="宋体" w:cs="宋体"/>
                <w:color w:val="000000"/>
                <w:kern w:val="0"/>
                <w:sz w:val="20"/>
                <w:szCs w:val="20"/>
                <w:lang w:eastAsia="zh-CN" w:bidi="ar"/>
              </w:rPr>
              <w:t>单位</w:t>
            </w:r>
            <w:r>
              <w:rPr>
                <w:rFonts w:hint="eastAsia" w:ascii="宋体" w:hAnsi="宋体" w:cs="宋体"/>
                <w:color w:val="000000"/>
                <w:kern w:val="0"/>
                <w:sz w:val="20"/>
                <w:szCs w:val="20"/>
                <w:lang w:bidi="ar"/>
              </w:rPr>
              <w:t>，群体或个人。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 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96</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775" w:hRule="atLeast"/>
        </w:trPr>
        <w:tc>
          <w:tcPr>
            <w:tcW w:w="92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备注：根据资金支出实际情况，对“三级指标”进行增加或删除，并将修改后的“评分标准”和“指标解释”进行细化，总分为100分。</w:t>
            </w:r>
          </w:p>
        </w:tc>
      </w:tr>
    </w:tbl>
    <w:p>
      <w:pPr>
        <w:ind w:firstLine="640" w:firstLineChars="200"/>
        <w:rPr>
          <w:rFonts w:ascii="仿宋" w:hAnsi="仿宋" w:eastAsia="仿宋" w:cs="仿宋"/>
          <w:sz w:val="32"/>
          <w:szCs w:val="40"/>
        </w:rPr>
      </w:pPr>
    </w:p>
    <w:p>
      <w:pPr>
        <w:numPr>
          <w:ilvl w:val="0"/>
          <w:numId w:val="3"/>
        </w:numPr>
        <w:ind w:firstLine="640" w:firstLineChars="200"/>
        <w:rPr>
          <w:rFonts w:ascii="楷体" w:hAnsi="楷体" w:eastAsia="楷体" w:cs="楷体"/>
          <w:sz w:val="32"/>
          <w:szCs w:val="40"/>
        </w:rPr>
      </w:pPr>
      <w:r>
        <w:rPr>
          <w:rFonts w:hint="eastAsia" w:ascii="楷体" w:hAnsi="楷体" w:eastAsia="楷体" w:cs="楷体"/>
          <w:sz w:val="32"/>
          <w:szCs w:val="40"/>
          <w:lang w:eastAsia="zh-CN"/>
        </w:rPr>
        <w:t>单位</w:t>
      </w:r>
      <w:r>
        <w:rPr>
          <w:rFonts w:hint="eastAsia" w:ascii="楷体" w:hAnsi="楷体" w:eastAsia="楷体" w:cs="楷体"/>
          <w:sz w:val="32"/>
          <w:szCs w:val="40"/>
        </w:rPr>
        <w:t>重点评价项目绩效评价结果。</w:t>
      </w:r>
    </w:p>
    <w:p>
      <w:pPr>
        <w:ind w:firstLine="640" w:firstLineChars="200"/>
        <w:rPr>
          <w:rFonts w:ascii="仿宋_GB2312" w:hAnsi="仿宋" w:eastAsia="仿宋_GB2312" w:cs="仿宋"/>
          <w:sz w:val="32"/>
          <w:szCs w:val="40"/>
        </w:rPr>
      </w:pPr>
      <w:r>
        <w:rPr>
          <w:rFonts w:hint="eastAsia" w:ascii="仿宋_GB2312" w:hAnsi="仿宋" w:eastAsia="仿宋_GB2312" w:cs="仿宋"/>
          <w:sz w:val="32"/>
          <w:szCs w:val="40"/>
        </w:rPr>
        <w:t>本</w:t>
      </w:r>
      <w:r>
        <w:rPr>
          <w:rFonts w:hint="eastAsia" w:ascii="仿宋_GB2312" w:hAnsi="仿宋" w:eastAsia="仿宋_GB2312" w:cs="仿宋"/>
          <w:sz w:val="32"/>
          <w:szCs w:val="40"/>
          <w:lang w:eastAsia="zh-CN"/>
        </w:rPr>
        <w:t>单位</w:t>
      </w:r>
      <w:r>
        <w:rPr>
          <w:rFonts w:hint="eastAsia" w:ascii="仿宋_GB2312" w:hAnsi="仿宋" w:eastAsia="仿宋_GB2312" w:cs="仿宋"/>
          <w:sz w:val="32"/>
          <w:szCs w:val="40"/>
        </w:rPr>
        <w:t>对</w:t>
      </w:r>
      <w:r>
        <w:rPr>
          <w:rFonts w:hint="eastAsia" w:ascii="仿宋_GB2312" w:hAnsi="仿宋" w:eastAsia="仿宋_GB2312" w:cs="仿宋"/>
          <w:sz w:val="32"/>
          <w:szCs w:val="40"/>
          <w:lang w:val="en-US" w:eastAsia="zh-CN"/>
        </w:rPr>
        <w:t>2021</w:t>
      </w:r>
      <w:r>
        <w:rPr>
          <w:rFonts w:hint="eastAsia" w:ascii="仿宋_GB2312" w:hAnsi="仿宋" w:eastAsia="仿宋_GB2312" w:cs="仿宋"/>
          <w:sz w:val="32"/>
          <w:szCs w:val="40"/>
        </w:rPr>
        <w:t>年度</w:t>
      </w:r>
      <w:r>
        <w:rPr>
          <w:rFonts w:hint="eastAsia" w:ascii="仿宋_GB2312" w:hAnsi="仿宋" w:eastAsia="仿宋_GB2312" w:cs="仿宋"/>
          <w:sz w:val="32"/>
          <w:szCs w:val="40"/>
          <w:lang w:eastAsia="zh-CN"/>
        </w:rPr>
        <w:t>的</w:t>
      </w:r>
      <w:r>
        <w:rPr>
          <w:rFonts w:hint="eastAsia" w:ascii="仿宋_GB2312" w:hAnsi="仿宋" w:eastAsia="仿宋_GB2312" w:cs="仿宋"/>
          <w:sz w:val="32"/>
          <w:szCs w:val="40"/>
          <w:lang w:val="en-US" w:eastAsia="zh-CN"/>
        </w:rPr>
        <w:t>榆林市城镇生态园林技术服务中心未</w:t>
      </w:r>
      <w:r>
        <w:rPr>
          <w:rFonts w:hint="eastAsia" w:ascii="仿宋_GB2312" w:hAnsi="仿宋" w:eastAsia="仿宋_GB2312" w:cs="仿宋"/>
          <w:sz w:val="32"/>
          <w:szCs w:val="40"/>
          <w:lang w:eastAsia="zh-CN"/>
        </w:rPr>
        <w:t>开展了重点项目绩效评价</w:t>
      </w:r>
      <w:r>
        <w:rPr>
          <w:rFonts w:hint="eastAsia" w:ascii="仿宋_GB2312" w:hAnsi="仿宋" w:eastAsia="仿宋_GB2312" w:cs="仿宋"/>
          <w:sz w:val="32"/>
          <w:szCs w:val="40"/>
        </w:rPr>
        <w:t>。</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使用一般公共预算财政拨款安排的因公出国（境）费、公务用车购置及运行费和公务接待费支出。</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4</w:t>
      </w:r>
      <w:r>
        <w:rPr>
          <w:rFonts w:ascii="楷体" w:hAnsi="楷体" w:eastAsia="楷体" w:cs="楷体"/>
          <w:sz w:val="32"/>
          <w:szCs w:val="32"/>
          <w:lang w:val="en"/>
        </w:rPr>
        <w:t>.</w:t>
      </w:r>
      <w:r>
        <w:rPr>
          <w:rFonts w:hint="eastAsia" w:ascii="楷体" w:hAnsi="楷体" w:eastAsia="楷体" w:cs="楷体"/>
          <w:sz w:val="32"/>
          <w:szCs w:val="32"/>
        </w:rPr>
        <w:t>财政拨款收入：</w:t>
      </w:r>
      <w:r>
        <w:rPr>
          <w:rFonts w:hint="eastAsia" w:ascii="仿宋_GB2312" w:hAnsi="仿宋_GB2312" w:eastAsia="仿宋_GB2312" w:cs="仿宋_GB2312"/>
          <w:sz w:val="32"/>
          <w:szCs w:val="32"/>
        </w:rPr>
        <w:t>指本级财政当年拨付的资金。</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6</w:t>
      </w:r>
      <w:r>
        <w:rPr>
          <w:rFonts w:ascii="楷体" w:hAnsi="楷体" w:eastAsia="楷体" w:cs="楷体"/>
          <w:sz w:val="32"/>
          <w:szCs w:val="32"/>
          <w:lang w:val="en"/>
        </w:rPr>
        <w:t>.</w:t>
      </w:r>
      <w:r>
        <w:rPr>
          <w:rFonts w:hint="eastAsia" w:ascii="楷体" w:hAnsi="楷体" w:eastAsia="楷体" w:cs="楷体"/>
          <w:sz w:val="32"/>
          <w:szCs w:val="32"/>
        </w:rPr>
        <w:t>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7</w:t>
      </w:r>
      <w:r>
        <w:rPr>
          <w:rFonts w:ascii="楷体" w:hAnsi="楷体" w:eastAsia="楷体" w:cs="楷体"/>
          <w:sz w:val="32"/>
          <w:szCs w:val="32"/>
          <w:lang w:val="en"/>
        </w:rPr>
        <w:t>.</w:t>
      </w:r>
      <w:r>
        <w:rPr>
          <w:rFonts w:hint="eastAsia" w:ascii="楷体" w:hAnsi="楷体" w:eastAsia="楷体" w:cs="楷体"/>
          <w:sz w:val="32"/>
          <w:szCs w:val="32"/>
        </w:rPr>
        <w:t>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8</w:t>
      </w:r>
      <w:r>
        <w:rPr>
          <w:rFonts w:ascii="楷体" w:hAnsi="楷体" w:eastAsia="楷体" w:cs="楷体"/>
          <w:sz w:val="32"/>
          <w:szCs w:val="32"/>
          <w:lang w:val="en"/>
        </w:rPr>
        <w:t>.</w:t>
      </w:r>
      <w:r>
        <w:rPr>
          <w:rFonts w:hint="eastAsia" w:ascii="楷体" w:hAnsi="楷体" w:eastAsia="楷体" w:cs="楷体"/>
          <w:sz w:val="32"/>
          <w:szCs w:val="32"/>
        </w:rPr>
        <w:t>结余资金</w:t>
      </w:r>
      <w:r>
        <w:rPr>
          <w:rFonts w:hint="eastAsia" w:ascii="仿宋_GB2312" w:hAnsi="仿宋_GB2312" w:eastAsia="仿宋_GB2312" w:cs="仿宋_GB2312"/>
          <w:sz w:val="32"/>
          <w:szCs w:val="32"/>
        </w:rPr>
        <w:t>：即当年预算工作目标已完成，或者因故终止，当年剩余的资金。</w:t>
      </w:r>
    </w:p>
    <w:sectPr>
      <w:pgSz w:w="11906" w:h="16838"/>
      <w:pgMar w:top="1928" w:right="1644" w:bottom="1474" w:left="1758" w:header="851" w:footer="1077"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pPr>
                      <w:pStyle w:val="5"/>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730819"/>
      <w:docPartObj>
        <w:docPartGallery w:val="autotext"/>
      </w:docPartObj>
    </w:sdtPr>
    <w:sdtEndPr>
      <w:rPr>
        <w:rFonts w:ascii="宋体" w:hAnsi="宋体"/>
        <w:sz w:val="21"/>
        <w:szCs w:val="21"/>
      </w:rPr>
    </w:sdtEndPr>
    <w:sdtContent>
      <w:p>
        <w:pPr>
          <w:pStyle w:val="5"/>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2 -</w:t>
        </w:r>
        <w:r>
          <w:rPr>
            <w:rFonts w:ascii="宋体" w:hAnsi="宋体"/>
            <w:sz w:val="21"/>
            <w:szCs w:val="2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F52E8"/>
    <w:multiLevelType w:val="singleLevel"/>
    <w:tmpl w:val="0C5F52E8"/>
    <w:lvl w:ilvl="0" w:tentative="0">
      <w:start w:val="2"/>
      <w:numFmt w:val="chineseCounting"/>
      <w:suff w:val="nothing"/>
      <w:lvlText w:val="（%1）"/>
      <w:lvlJc w:val="left"/>
      <w:rPr>
        <w:rFonts w:hint="eastAsia"/>
      </w:rPr>
    </w:lvl>
  </w:abstractNum>
  <w:abstractNum w:abstractNumId="1">
    <w:nsid w:val="6AB1F5AE"/>
    <w:multiLevelType w:val="singleLevel"/>
    <w:tmpl w:val="6AB1F5AE"/>
    <w:lvl w:ilvl="0" w:tentative="0">
      <w:start w:val="8"/>
      <w:numFmt w:val="chineseCounting"/>
      <w:suff w:val="nothing"/>
      <w:lvlText w:val="%1、"/>
      <w:lvlJc w:val="left"/>
      <w:rPr>
        <w:rFonts w:hint="eastAsia"/>
      </w:rPr>
    </w:lvl>
  </w:abstractNum>
  <w:abstractNum w:abstractNumId="2">
    <w:nsid w:val="7AEDE1A5"/>
    <w:multiLevelType w:val="singleLevel"/>
    <w:tmpl w:val="7AEDE1A5"/>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zhlOTViNzE5ZTNlZmE3MjY5MjExZDBjODQ2NzkifQ=="/>
  </w:docVars>
  <w:rsids>
    <w:rsidRoot w:val="31AA6038"/>
    <w:rsid w:val="00050E89"/>
    <w:rsid w:val="001429AD"/>
    <w:rsid w:val="00146787"/>
    <w:rsid w:val="00164001"/>
    <w:rsid w:val="00184FF6"/>
    <w:rsid w:val="001853E0"/>
    <w:rsid w:val="001D6FC7"/>
    <w:rsid w:val="001D7568"/>
    <w:rsid w:val="001E5DBF"/>
    <w:rsid w:val="002424C8"/>
    <w:rsid w:val="0025516F"/>
    <w:rsid w:val="002A7893"/>
    <w:rsid w:val="003364E9"/>
    <w:rsid w:val="003C5612"/>
    <w:rsid w:val="00452E2E"/>
    <w:rsid w:val="004B6D6E"/>
    <w:rsid w:val="00553CB0"/>
    <w:rsid w:val="005809D0"/>
    <w:rsid w:val="005C3F07"/>
    <w:rsid w:val="0060544D"/>
    <w:rsid w:val="00613B6A"/>
    <w:rsid w:val="00661788"/>
    <w:rsid w:val="00813F4A"/>
    <w:rsid w:val="008450B9"/>
    <w:rsid w:val="009B7A14"/>
    <w:rsid w:val="00B607E6"/>
    <w:rsid w:val="00B60E5D"/>
    <w:rsid w:val="00B80654"/>
    <w:rsid w:val="00C94D92"/>
    <w:rsid w:val="00D22615"/>
    <w:rsid w:val="00D23367"/>
    <w:rsid w:val="00E17EE4"/>
    <w:rsid w:val="00E72BEE"/>
    <w:rsid w:val="00E8111E"/>
    <w:rsid w:val="00F4383C"/>
    <w:rsid w:val="013B79AC"/>
    <w:rsid w:val="01BE4C9B"/>
    <w:rsid w:val="02F00EFC"/>
    <w:rsid w:val="049D76C3"/>
    <w:rsid w:val="05054FE2"/>
    <w:rsid w:val="051F457C"/>
    <w:rsid w:val="05520D1A"/>
    <w:rsid w:val="06D82C35"/>
    <w:rsid w:val="08E42EAC"/>
    <w:rsid w:val="0F772B5B"/>
    <w:rsid w:val="107E311B"/>
    <w:rsid w:val="10BB651B"/>
    <w:rsid w:val="115746CE"/>
    <w:rsid w:val="115E3BBD"/>
    <w:rsid w:val="125A02B9"/>
    <w:rsid w:val="125E2600"/>
    <w:rsid w:val="132E46A0"/>
    <w:rsid w:val="135556F4"/>
    <w:rsid w:val="138D225A"/>
    <w:rsid w:val="14411117"/>
    <w:rsid w:val="14463ECA"/>
    <w:rsid w:val="1586116E"/>
    <w:rsid w:val="16F75418"/>
    <w:rsid w:val="1883216C"/>
    <w:rsid w:val="18B8642B"/>
    <w:rsid w:val="18BB4AD7"/>
    <w:rsid w:val="1B2A3ECC"/>
    <w:rsid w:val="1B3421CE"/>
    <w:rsid w:val="1B4A3FDA"/>
    <w:rsid w:val="1B4E60ED"/>
    <w:rsid w:val="1B524C98"/>
    <w:rsid w:val="1C115ADF"/>
    <w:rsid w:val="1C285A2F"/>
    <w:rsid w:val="1C5E2F73"/>
    <w:rsid w:val="1CE44E95"/>
    <w:rsid w:val="1D6E0C0D"/>
    <w:rsid w:val="1EF768A5"/>
    <w:rsid w:val="204963ED"/>
    <w:rsid w:val="2058712F"/>
    <w:rsid w:val="20EF4457"/>
    <w:rsid w:val="221C15BB"/>
    <w:rsid w:val="222B5DC2"/>
    <w:rsid w:val="23E4344C"/>
    <w:rsid w:val="24315E72"/>
    <w:rsid w:val="2491744F"/>
    <w:rsid w:val="25106153"/>
    <w:rsid w:val="25630347"/>
    <w:rsid w:val="25BC39F6"/>
    <w:rsid w:val="26B270EC"/>
    <w:rsid w:val="272F4B61"/>
    <w:rsid w:val="27E86D24"/>
    <w:rsid w:val="29785A6B"/>
    <w:rsid w:val="29E96C6D"/>
    <w:rsid w:val="2B547244"/>
    <w:rsid w:val="2B69017C"/>
    <w:rsid w:val="2C9C632F"/>
    <w:rsid w:val="2D1F3974"/>
    <w:rsid w:val="2D657953"/>
    <w:rsid w:val="2DB52EF2"/>
    <w:rsid w:val="2E6E3B96"/>
    <w:rsid w:val="2EB90ADB"/>
    <w:rsid w:val="2F357CC3"/>
    <w:rsid w:val="2F7F3606"/>
    <w:rsid w:val="300E343C"/>
    <w:rsid w:val="312D57A8"/>
    <w:rsid w:val="313B5E52"/>
    <w:rsid w:val="316771C6"/>
    <w:rsid w:val="31AA6038"/>
    <w:rsid w:val="33887EE3"/>
    <w:rsid w:val="34677C61"/>
    <w:rsid w:val="36F56D67"/>
    <w:rsid w:val="39113AA1"/>
    <w:rsid w:val="3B121AD1"/>
    <w:rsid w:val="3C0D61D4"/>
    <w:rsid w:val="3C88242C"/>
    <w:rsid w:val="3CFD0D2E"/>
    <w:rsid w:val="3D15341C"/>
    <w:rsid w:val="3DD06ACE"/>
    <w:rsid w:val="3E081550"/>
    <w:rsid w:val="41603979"/>
    <w:rsid w:val="41CF436B"/>
    <w:rsid w:val="435E3EE6"/>
    <w:rsid w:val="43C57AC2"/>
    <w:rsid w:val="443B2E6C"/>
    <w:rsid w:val="4619368A"/>
    <w:rsid w:val="47C13773"/>
    <w:rsid w:val="4A9326C8"/>
    <w:rsid w:val="4B4439C2"/>
    <w:rsid w:val="4BB542B4"/>
    <w:rsid w:val="4BD46AEF"/>
    <w:rsid w:val="4D6E0FDF"/>
    <w:rsid w:val="4EE016AD"/>
    <w:rsid w:val="4EE4307A"/>
    <w:rsid w:val="4FC4304B"/>
    <w:rsid w:val="50501B13"/>
    <w:rsid w:val="5153143F"/>
    <w:rsid w:val="52642B9B"/>
    <w:rsid w:val="52AB5202"/>
    <w:rsid w:val="53CE3F8A"/>
    <w:rsid w:val="54F12DEE"/>
    <w:rsid w:val="55147C14"/>
    <w:rsid w:val="563C45D6"/>
    <w:rsid w:val="57F55EB3"/>
    <w:rsid w:val="57FE757F"/>
    <w:rsid w:val="580D6782"/>
    <w:rsid w:val="5A0709DC"/>
    <w:rsid w:val="5AFC5DB6"/>
    <w:rsid w:val="5B3620DE"/>
    <w:rsid w:val="5B6E7DE5"/>
    <w:rsid w:val="5B8D564A"/>
    <w:rsid w:val="603B318E"/>
    <w:rsid w:val="60EB55EF"/>
    <w:rsid w:val="62954034"/>
    <w:rsid w:val="635F5C54"/>
    <w:rsid w:val="636273C7"/>
    <w:rsid w:val="65074FBA"/>
    <w:rsid w:val="66377D5A"/>
    <w:rsid w:val="67767724"/>
    <w:rsid w:val="69390486"/>
    <w:rsid w:val="6B9E4244"/>
    <w:rsid w:val="6E4C47B8"/>
    <w:rsid w:val="6EA23008"/>
    <w:rsid w:val="6FB2468C"/>
    <w:rsid w:val="70E3342F"/>
    <w:rsid w:val="71086DB5"/>
    <w:rsid w:val="7386044D"/>
    <w:rsid w:val="7414042A"/>
    <w:rsid w:val="754F4216"/>
    <w:rsid w:val="75C31473"/>
    <w:rsid w:val="75DA4350"/>
    <w:rsid w:val="763B2EA0"/>
    <w:rsid w:val="76675743"/>
    <w:rsid w:val="782563DD"/>
    <w:rsid w:val="78F630E6"/>
    <w:rsid w:val="79891BE0"/>
    <w:rsid w:val="79AC33DA"/>
    <w:rsid w:val="7A983721"/>
    <w:rsid w:val="7B3C4255"/>
    <w:rsid w:val="7C3E5E46"/>
    <w:rsid w:val="7D9879F5"/>
    <w:rsid w:val="7DA0792A"/>
    <w:rsid w:val="7E595ACF"/>
    <w:rsid w:val="7E892583"/>
    <w:rsid w:val="7EE759C2"/>
    <w:rsid w:val="7FAE32D8"/>
    <w:rsid w:val="FABFD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qFormat/>
    <w:uiPriority w:val="99"/>
    <w:pPr>
      <w:keepNext/>
      <w:keepLines/>
      <w:outlineLvl w:val="3"/>
    </w:pPr>
    <w:rPr>
      <w:rFonts w:ascii="Cambria" w:hAnsi="Cambria"/>
      <w:b/>
      <w:bCs/>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Char"/>
    <w:basedOn w:val="10"/>
    <w:link w:val="3"/>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4"/>
    <w:qFormat/>
    <w:uiPriority w:val="0"/>
    <w:rPr>
      <w:rFonts w:ascii="Calibri" w:hAnsi="Calibri" w:cs="黑体"/>
      <w:kern w:val="2"/>
      <w:sz w:val="18"/>
      <w:szCs w:val="18"/>
    </w:rPr>
  </w:style>
  <w:style w:type="paragraph" w:styleId="15">
    <w:name w:val="List Paragraph"/>
    <w:basedOn w:val="1"/>
    <w:unhideWhenUsed/>
    <w:qFormat/>
    <w:uiPriority w:val="99"/>
    <w:pPr>
      <w:ind w:firstLine="420" w:firstLineChars="200"/>
    </w:pPr>
  </w:style>
  <w:style w:type="character" w:customStyle="1" w:styleId="16">
    <w:name w:val="页脚 Char"/>
    <w:basedOn w:val="10"/>
    <w:link w:val="5"/>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年底人员情况</a:t>
            </a:r>
            <a:endParaRPr lang="zh-CN" altLang="en-US"/>
          </a:p>
        </c:rich>
      </c:tx>
      <c:layout/>
      <c:overlay val="0"/>
    </c:title>
    <c:autoTitleDeleted val="0"/>
    <c:plotArea>
      <c:layout/>
      <c:barChart>
        <c:barDir val="col"/>
        <c:grouping val="standard"/>
        <c:varyColors val="0"/>
        <c:ser>
          <c:idx val="0"/>
          <c:order val="0"/>
          <c:tx>
            <c:strRef>
              <c:f>Sheet1!$B$1</c:f>
              <c:strCache>
                <c:ptCount val="1"/>
                <c:pt idx="0">
                  <c:v>编制人数</c:v>
                </c:pt>
              </c:strCache>
            </c:strRef>
          </c:tx>
          <c:invertIfNegative val="0"/>
          <c:dLbls>
            <c:delete val="1"/>
          </c:dLbls>
          <c:cat>
            <c:strRef>
              <c:f>Sheet1!$A$2:$A$5</c:f>
              <c:strCache>
                <c:ptCount val="4"/>
                <c:pt idx="0">
                  <c:v>人数</c:v>
                </c:pt>
              </c:strCache>
            </c:strRef>
          </c:cat>
          <c:val>
            <c:numRef>
              <c:f>Sheet1!$B$2:$B$5</c:f>
              <c:numCache>
                <c:formatCode>General</c:formatCode>
                <c:ptCount val="4"/>
                <c:pt idx="0">
                  <c:v>32</c:v>
                </c:pt>
              </c:numCache>
            </c:numRef>
          </c:val>
        </c:ser>
        <c:ser>
          <c:idx val="1"/>
          <c:order val="1"/>
          <c:tx>
            <c:strRef>
              <c:f>Sheet1!$C$1</c:f>
              <c:strCache>
                <c:ptCount val="1"/>
                <c:pt idx="0">
                  <c:v>实有人数</c:v>
                </c:pt>
              </c:strCache>
            </c:strRef>
          </c:tx>
          <c:invertIfNegative val="0"/>
          <c:dLbls>
            <c:delete val="1"/>
          </c:dLbls>
          <c:cat>
            <c:strRef>
              <c:f>Sheet1!$A$2:$A$5</c:f>
              <c:strCache>
                <c:ptCount val="4"/>
                <c:pt idx="0">
                  <c:v>人数</c:v>
                </c:pt>
              </c:strCache>
            </c:strRef>
          </c:cat>
          <c:val>
            <c:numRef>
              <c:f>Sheet1!$C$2:$C$5</c:f>
              <c:numCache>
                <c:formatCode>General</c:formatCode>
                <c:ptCount val="4"/>
                <c:pt idx="0">
                  <c:v>22</c:v>
                </c:pt>
              </c:numCache>
            </c:numRef>
          </c:val>
        </c:ser>
        <c:dLbls>
          <c:showLegendKey val="0"/>
          <c:showVal val="0"/>
          <c:showCatName val="0"/>
          <c:showSerName val="0"/>
          <c:showPercent val="0"/>
          <c:showBubbleSize val="0"/>
        </c:dLbls>
        <c:gapWidth val="150"/>
        <c:axId val="48928256"/>
        <c:axId val="48929792"/>
      </c:barChart>
      <c:catAx>
        <c:axId val="489282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929792"/>
        <c:crosses val="autoZero"/>
        <c:auto val="1"/>
        <c:lblAlgn val="ctr"/>
        <c:lblOffset val="100"/>
        <c:noMultiLvlLbl val="0"/>
      </c:catAx>
      <c:valAx>
        <c:axId val="4892979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92825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400714689815718"/>
          <c:y val="0.057585825027685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898704358068316"/>
          <c:y val="0.23233665559247"/>
          <c:w val="0.74605418138987"/>
          <c:h val="0.693244739756368"/>
        </c:manualLayout>
      </c:layout>
      <c:barChart>
        <c:barDir val="col"/>
        <c:grouping val="stacked"/>
        <c:varyColors val="0"/>
        <c:ser>
          <c:idx val="0"/>
          <c:order val="0"/>
          <c:tx>
            <c:strRef>
              <c:f>Sheet1!$B$1</c:f>
              <c:strCache>
                <c:ptCount val="1"/>
                <c:pt idx="0">
                  <c:v>支出总计</c:v>
                </c:pt>
              </c:strCache>
            </c:strRef>
          </c:tx>
          <c:invertIfNegative val="0"/>
          <c:dPt>
            <c:idx val="1"/>
            <c:invertIfNegative val="0"/>
            <c:bubble3D val="0"/>
            <c:spPr>
              <a:solidFill>
                <a:schemeClr val="accent2"/>
              </a:solidFill>
            </c:spPr>
          </c:dPt>
          <c:dLbls>
            <c:delete val="1"/>
          </c:dLbls>
          <c:cat>
            <c:strRef>
              <c:f>Sheet1!$A$2:$A$3</c:f>
              <c:strCache>
                <c:ptCount val="2"/>
                <c:pt idx="0">
                  <c:v>2020年</c:v>
                </c:pt>
                <c:pt idx="1">
                  <c:v>2021年</c:v>
                </c:pt>
              </c:strCache>
            </c:strRef>
          </c:cat>
          <c:val>
            <c:numRef>
              <c:f>Sheet1!$B$2:$B$3</c:f>
              <c:numCache>
                <c:formatCode>General</c:formatCode>
                <c:ptCount val="2"/>
                <c:pt idx="0">
                  <c:v>337.44</c:v>
                </c:pt>
                <c:pt idx="1">
                  <c:v>413.63</c:v>
                </c:pt>
              </c:numCache>
            </c:numRef>
          </c:val>
        </c:ser>
        <c:dLbls>
          <c:showLegendKey val="0"/>
          <c:showVal val="0"/>
          <c:showCatName val="0"/>
          <c:showSerName val="0"/>
          <c:showPercent val="0"/>
          <c:showBubbleSize val="0"/>
        </c:dLbls>
        <c:gapWidth val="55"/>
        <c:overlap val="100"/>
        <c:axId val="49459584"/>
        <c:axId val="49461120"/>
      </c:barChart>
      <c:catAx>
        <c:axId val="494595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461120"/>
        <c:crosses val="autoZero"/>
        <c:auto val="1"/>
        <c:lblAlgn val="ctr"/>
        <c:lblOffset val="100"/>
        <c:noMultiLvlLbl val="0"/>
      </c:catAx>
      <c:valAx>
        <c:axId val="4946112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45958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38585543421737"/>
          <c:y val="0.31262157382847"/>
          <c:w val="0.829661986479459"/>
          <c:h val="0.574801061007958"/>
        </c:manualLayout>
      </c:layout>
      <c:pie3DChart>
        <c:varyColors val="1"/>
        <c:ser>
          <c:idx val="0"/>
          <c:order val="0"/>
          <c:tx>
            <c:strRef>
              <c:f>Sheet1!$B$1</c:f>
              <c:strCache>
                <c:ptCount val="1"/>
                <c:pt idx="0">
                  <c:v>支出类别</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233.63</c:v>
                </c:pt>
                <c:pt idx="1">
                  <c:v>180</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a:t>
            </a:r>
            <a:endParaRPr lang="zh-CN" altLang="en-US"/>
          </a:p>
        </c:rich>
      </c:tx>
      <c:layout>
        <c:manualLayout>
          <c:xMode val="edge"/>
          <c:yMode val="edge"/>
          <c:x val="0.400714689815718"/>
          <c:y val="0.0575858250276855"/>
        </c:manualLayout>
      </c:layout>
      <c:overlay val="0"/>
    </c:title>
    <c:autoTitleDeleted val="0"/>
    <c:plotArea>
      <c:layout/>
      <c:barChart>
        <c:barDir val="col"/>
        <c:grouping val="stacked"/>
        <c:varyColors val="0"/>
        <c:ser>
          <c:idx val="0"/>
          <c:order val="0"/>
          <c:tx>
            <c:strRef>
              <c:f>Sheet1!$B$1</c:f>
              <c:strCache>
                <c:ptCount val="1"/>
                <c:pt idx="0">
                  <c:v>支出总计</c:v>
                </c:pt>
              </c:strCache>
            </c:strRef>
          </c:tx>
          <c:spPr>
            <a:solidFill>
              <a:schemeClr val="accent3">
                <a:lumMod val="75000"/>
              </a:schemeClr>
            </a:solidFill>
          </c:spPr>
          <c:invertIfNegative val="0"/>
          <c:dPt>
            <c:idx val="0"/>
            <c:invertIfNegative val="0"/>
            <c:bubble3D val="0"/>
            <c:spPr>
              <a:solidFill>
                <a:schemeClr val="accent6">
                  <a:lumMod val="75000"/>
                </a:schemeClr>
              </a:solidFill>
            </c:spPr>
          </c:dPt>
          <c:dLbls>
            <c:delete val="1"/>
          </c:dLbls>
          <c:cat>
            <c:strRef>
              <c:f>Sheet1!$A$2:$A$3</c:f>
              <c:strCache>
                <c:ptCount val="2"/>
                <c:pt idx="0">
                  <c:v>2020年</c:v>
                </c:pt>
                <c:pt idx="1">
                  <c:v>2021年</c:v>
                </c:pt>
              </c:strCache>
            </c:strRef>
          </c:cat>
          <c:val>
            <c:numRef>
              <c:f>Sheet1!$B$2:$B$3</c:f>
              <c:numCache>
                <c:formatCode>General</c:formatCode>
                <c:ptCount val="2"/>
                <c:pt idx="0">
                  <c:v>337.44</c:v>
                </c:pt>
                <c:pt idx="1">
                  <c:v>413.63</c:v>
                </c:pt>
              </c:numCache>
            </c:numRef>
          </c:val>
        </c:ser>
        <c:dLbls>
          <c:showLegendKey val="0"/>
          <c:showVal val="0"/>
          <c:showCatName val="0"/>
          <c:showSerName val="0"/>
          <c:showPercent val="0"/>
          <c:showBubbleSize val="0"/>
        </c:dLbls>
        <c:gapWidth val="55"/>
        <c:overlap val="100"/>
        <c:axId val="49496064"/>
        <c:axId val="49497600"/>
      </c:barChart>
      <c:catAx>
        <c:axId val="494960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497600"/>
        <c:crosses val="autoZero"/>
        <c:auto val="1"/>
        <c:lblAlgn val="ctr"/>
        <c:lblOffset val="100"/>
        <c:noMultiLvlLbl val="0"/>
      </c:catAx>
      <c:valAx>
        <c:axId val="494976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49606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a:t>
            </a:r>
            <a:endParaRPr lang="zh-CN" altLang="en-US"/>
          </a:p>
        </c:rich>
      </c:tx>
      <c:layout>
        <c:manualLayout>
          <c:xMode val="edge"/>
          <c:yMode val="edge"/>
          <c:x val="0.21814696307838"/>
          <c:y val="0.0545973192805591"/>
        </c:manualLayout>
      </c:layout>
      <c:overlay val="0"/>
    </c:title>
    <c:autoTitleDeleted val="0"/>
    <c:plotArea>
      <c:layout>
        <c:manualLayout>
          <c:layoutTarget val="inner"/>
          <c:xMode val="edge"/>
          <c:yMode val="edge"/>
          <c:x val="0.0837593092382893"/>
          <c:y val="0.214850585537274"/>
          <c:w val="0.73017593648851"/>
          <c:h val="0.659896582694608"/>
        </c:manualLayout>
      </c:layout>
      <c:barChart>
        <c:barDir val="col"/>
        <c:grouping val="stacked"/>
        <c:varyColors val="0"/>
        <c:ser>
          <c:idx val="0"/>
          <c:order val="0"/>
          <c:tx>
            <c:strRef>
              <c:f>Sheet1!$B$1</c:f>
              <c:strCache>
                <c:ptCount val="1"/>
                <c:pt idx="0">
                  <c:v>支出总计</c:v>
                </c:pt>
              </c:strCache>
            </c:strRef>
          </c:tx>
          <c:invertIfNegative val="0"/>
          <c:dPt>
            <c:idx val="1"/>
            <c:invertIfNegative val="0"/>
            <c:bubble3D val="0"/>
            <c:spPr>
              <a:solidFill>
                <a:schemeClr val="accent2"/>
              </a:solidFill>
            </c:spPr>
          </c:dPt>
          <c:dLbls>
            <c:delete val="1"/>
          </c:dLbls>
          <c:cat>
            <c:strRef>
              <c:f>Sheet1!$A$2:$A$3</c:f>
              <c:strCache>
                <c:ptCount val="2"/>
                <c:pt idx="0">
                  <c:v>2020年</c:v>
                </c:pt>
                <c:pt idx="1">
                  <c:v>2021年</c:v>
                </c:pt>
              </c:strCache>
            </c:strRef>
          </c:cat>
          <c:val>
            <c:numRef>
              <c:f>Sheet1!$B$2:$B$3</c:f>
              <c:numCache>
                <c:formatCode>General</c:formatCode>
                <c:ptCount val="2"/>
                <c:pt idx="0">
                  <c:v>337.44</c:v>
                </c:pt>
                <c:pt idx="1">
                  <c:v>413.63</c:v>
                </c:pt>
              </c:numCache>
            </c:numRef>
          </c:val>
        </c:ser>
        <c:dLbls>
          <c:showLegendKey val="0"/>
          <c:showVal val="0"/>
          <c:showCatName val="0"/>
          <c:showSerName val="0"/>
          <c:showPercent val="0"/>
          <c:showBubbleSize val="0"/>
        </c:dLbls>
        <c:gapWidth val="55"/>
        <c:overlap val="100"/>
        <c:axId val="49513984"/>
        <c:axId val="49515520"/>
      </c:barChart>
      <c:catAx>
        <c:axId val="495139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515520"/>
        <c:crosses val="autoZero"/>
        <c:auto val="1"/>
        <c:lblAlgn val="ctr"/>
        <c:lblOffset val="100"/>
        <c:noMultiLvlLbl val="0"/>
      </c:catAx>
      <c:valAx>
        <c:axId val="4951552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51398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财政拨款支出类别</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28032979976443"/>
          <c:y val="0.371305936073059"/>
          <c:w val="0.834393404004711"/>
          <c:h val="0.564767123287671"/>
        </c:manualLayout>
      </c:layout>
      <c:pie3DChart>
        <c:varyColors val="1"/>
        <c:ser>
          <c:idx val="0"/>
          <c:order val="0"/>
          <c:tx>
            <c:strRef>
              <c:f>Sheet1!$B$1</c:f>
              <c:strCache>
                <c:ptCount val="1"/>
                <c:pt idx="0">
                  <c:v>支出类别</c:v>
                </c:pt>
              </c:strCache>
            </c:strRef>
          </c:tx>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233.63</c:v>
                </c:pt>
                <c:pt idx="1">
                  <c:v>180</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10955</Words>
  <Characters>12436</Characters>
  <Lines>88</Lines>
  <Paragraphs>24</Paragraphs>
  <TotalTime>5</TotalTime>
  <ScaleCrop>false</ScaleCrop>
  <LinksUpToDate>false</LinksUpToDate>
  <CharactersWithSpaces>13388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李建平</cp:lastModifiedBy>
  <cp:lastPrinted>2022-10-20T02:24:00Z</cp:lastPrinted>
  <dcterms:modified xsi:type="dcterms:W3CDTF">2022-10-20T07:54:30Z</dcterms:modified>
  <dc:title>附件1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C4341551AFEA4C98BAB552A96E70A7C4</vt:lpwstr>
  </property>
</Properties>
</file>